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АВТОНОМНЫЙ ОКРУГ - ЮГРА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ТЮМЕНСКАЯ ОБЛАСТЬ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ХАНТЫ-МАНСИЙСКИЙ РАЙОН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СЕЛИЯРОВО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СЕЛЬСКОГО ПОСЕЛЕНИЯ 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55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ind w:left="708" w:hanging="708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от </w:t>
      </w:r>
      <w:r>
        <w:rPr>
          <w:rFonts w:hint="default"/>
          <w:sz w:val="28"/>
          <w:szCs w:val="28"/>
          <w:lang w:val="ru-RU"/>
        </w:rPr>
        <w:t>22</w:t>
      </w:r>
      <w:r>
        <w:rPr>
          <w:sz w:val="28"/>
          <w:szCs w:val="28"/>
        </w:rPr>
        <w:t>.1</w:t>
      </w:r>
      <w:r>
        <w:rPr>
          <w:rFonts w:hint="default"/>
          <w:sz w:val="28"/>
          <w:szCs w:val="28"/>
          <w:lang w:val="ru-RU"/>
        </w:rPr>
        <w:t>2</w:t>
      </w:r>
      <w:r>
        <w:rPr>
          <w:sz w:val="28"/>
          <w:szCs w:val="28"/>
        </w:rPr>
        <w:t>.20</w:t>
      </w:r>
      <w:r>
        <w:rPr>
          <w:rFonts w:hint="default"/>
          <w:sz w:val="28"/>
          <w:szCs w:val="28"/>
          <w:lang w:val="ru-RU"/>
        </w:rPr>
        <w:t>21</w:t>
      </w:r>
      <w:r>
        <w:rPr>
          <w:sz w:val="28"/>
          <w:szCs w:val="28"/>
        </w:rPr>
        <w:t xml:space="preserve">                                                                                              № </w:t>
      </w:r>
      <w:r>
        <w:rPr>
          <w:rFonts w:hint="default"/>
          <w:sz w:val="28"/>
          <w:szCs w:val="28"/>
          <w:lang w:val="ru-RU"/>
        </w:rPr>
        <w:t>57</w:t>
      </w:r>
    </w:p>
    <w:p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с. Селиярово</w:t>
      </w:r>
    </w:p>
    <w:p>
      <w:pPr>
        <w:ind w:left="708" w:hanging="708"/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программы «Энергосбережение и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повышение энергетической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эффективности на территории   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елиярово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>на 20</w:t>
      </w:r>
      <w:r>
        <w:rPr>
          <w:rFonts w:hint="default"/>
          <w:sz w:val="28"/>
          <w:szCs w:val="28"/>
          <w:lang w:val="ru-RU"/>
        </w:rPr>
        <w:t>22</w:t>
      </w:r>
      <w:r>
        <w:rPr>
          <w:sz w:val="28"/>
          <w:szCs w:val="28"/>
        </w:rPr>
        <w:t>-202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годы»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Федерации»: </w:t>
      </w:r>
    </w:p>
    <w:p>
      <w:pPr>
        <w:ind w:firstLine="709"/>
        <w:jc w:val="both"/>
        <w:rPr>
          <w:sz w:val="28"/>
          <w:szCs w:val="28"/>
        </w:rPr>
      </w:pP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 Утвердить муниципальную   программу «Энергосбережение и повышение энергетической эффективности на территории  сельского поселения Селиярово на 20</w:t>
      </w:r>
      <w:r>
        <w:rPr>
          <w:rFonts w:hint="default"/>
          <w:sz w:val="28"/>
          <w:szCs w:val="28"/>
          <w:lang w:val="ru-RU"/>
        </w:rPr>
        <w:t>22</w:t>
      </w:r>
      <w:r>
        <w:rPr>
          <w:sz w:val="28"/>
          <w:szCs w:val="28"/>
        </w:rPr>
        <w:t>-202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годы» согласно приложению.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Установить, что в ходе реализации муниципальной  программы «Энергосбережение и повышение энергетической эффективности на территории  сельского поселения Селиярово на 20</w:t>
      </w:r>
      <w:r>
        <w:rPr>
          <w:rFonts w:hint="default"/>
          <w:sz w:val="28"/>
          <w:szCs w:val="28"/>
          <w:lang w:val="ru-RU"/>
        </w:rPr>
        <w:t>22</w:t>
      </w:r>
      <w:r>
        <w:rPr>
          <w:sz w:val="28"/>
          <w:szCs w:val="28"/>
        </w:rPr>
        <w:t>-202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годы» ежегодной корректировке подлежат мероприятия и объемы их финансирования с учетом возможностей средств бюджета поселения.</w:t>
      </w:r>
    </w:p>
    <w:p>
      <w:pPr>
        <w:tabs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Обнародовать настоящее постановление в установленном порядке.</w:t>
      </w:r>
    </w:p>
    <w:p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Cs/>
          <w:sz w:val="28"/>
          <w:szCs w:val="28"/>
        </w:rPr>
        <w:t>Настоящее постановление вступает в силу через 10 дней после его официального обнародования.</w:t>
      </w:r>
    </w:p>
    <w:p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 Контроль исполнения настоящего постановления оставляю за собой.</w:t>
      </w:r>
      <w:r>
        <w:rPr>
          <w:sz w:val="28"/>
          <w:szCs w:val="28"/>
        </w:rPr>
        <w:t xml:space="preserve">  </w:t>
      </w:r>
    </w:p>
    <w:p>
      <w:pPr>
        <w:ind w:firstLine="709"/>
        <w:jc w:val="both"/>
        <w:rPr>
          <w:b/>
        </w:rPr>
      </w:pPr>
    </w:p>
    <w:p>
      <w:pPr>
        <w:rPr>
          <w:b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            </w:t>
      </w: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>.А. Юдин</w:t>
      </w:r>
      <w:r>
        <w:rPr>
          <w:sz w:val="28"/>
          <w:szCs w:val="28"/>
        </w:rPr>
        <w:t xml:space="preserve"> </w:t>
      </w: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right"/>
        <w:rPr>
          <w:rFonts w:eastAsia="Calibri"/>
          <w:b w:val="0"/>
          <w:caps w:val="0"/>
          <w:lang w:eastAsia="en-US"/>
        </w:rPr>
      </w:pPr>
      <w:r>
        <w:rPr>
          <w:rFonts w:eastAsia="Calibri"/>
          <w:b w:val="0"/>
          <w:caps w:val="0"/>
          <w:lang w:eastAsia="en-US"/>
        </w:rPr>
        <w:t xml:space="preserve">Приложение </w:t>
      </w:r>
      <w:r>
        <w:rPr>
          <w:rFonts w:eastAsia="Calibri"/>
          <w:b w:val="0"/>
          <w:caps w:val="0"/>
          <w:lang w:eastAsia="en-US"/>
        </w:rPr>
        <w:br w:type="textWrapping"/>
      </w:r>
      <w:r>
        <w:rPr>
          <w:rFonts w:eastAsia="Calibri"/>
          <w:b w:val="0"/>
          <w:caps w:val="0"/>
          <w:lang w:eastAsia="en-US"/>
        </w:rPr>
        <w:t>к постановлению администрации</w:t>
      </w:r>
    </w:p>
    <w:p>
      <w:pPr>
        <w:pStyle w:val="2"/>
        <w:tabs>
          <w:tab w:val="clear" w:pos="1560"/>
        </w:tabs>
        <w:spacing w:before="0" w:after="0"/>
        <w:ind w:left="0" w:firstLine="0"/>
        <w:jc w:val="right"/>
        <w:rPr>
          <w:rFonts w:hint="default" w:eastAsia="Calibri"/>
          <w:b w:val="0"/>
          <w:caps w:val="0"/>
          <w:lang w:val="ru-RU" w:eastAsia="en-US"/>
        </w:rPr>
      </w:pPr>
      <w:r>
        <w:rPr>
          <w:rFonts w:eastAsia="Calibri"/>
          <w:b w:val="0"/>
          <w:caps w:val="0"/>
          <w:lang w:eastAsia="en-US"/>
        </w:rPr>
        <w:t xml:space="preserve">сельского поселения Селиярово </w:t>
      </w:r>
      <w:r>
        <w:rPr>
          <w:rFonts w:eastAsia="Calibri"/>
          <w:b w:val="0"/>
          <w:caps w:val="0"/>
          <w:lang w:eastAsia="en-US"/>
        </w:rPr>
        <w:br w:type="textWrapping"/>
      </w:r>
      <w:r>
        <w:rPr>
          <w:rFonts w:eastAsia="Calibri"/>
          <w:b w:val="0"/>
          <w:caps w:val="0"/>
          <w:lang w:eastAsia="en-US"/>
        </w:rPr>
        <w:t xml:space="preserve">от </w:t>
      </w:r>
      <w:r>
        <w:rPr>
          <w:rFonts w:hint="default" w:eastAsia="Calibri"/>
          <w:b w:val="0"/>
          <w:caps w:val="0"/>
          <w:lang w:val="ru-RU" w:eastAsia="en-US"/>
        </w:rPr>
        <w:t>22</w:t>
      </w:r>
      <w:r>
        <w:rPr>
          <w:rFonts w:eastAsia="Calibri"/>
          <w:b w:val="0"/>
          <w:caps w:val="0"/>
          <w:lang w:eastAsia="en-US"/>
        </w:rPr>
        <w:t>.1</w:t>
      </w:r>
      <w:r>
        <w:rPr>
          <w:rFonts w:hint="default" w:eastAsia="Calibri"/>
          <w:b w:val="0"/>
          <w:caps w:val="0"/>
          <w:lang w:val="ru-RU" w:eastAsia="en-US"/>
        </w:rPr>
        <w:t>2</w:t>
      </w:r>
      <w:r>
        <w:rPr>
          <w:rFonts w:eastAsia="Calibri"/>
          <w:b w:val="0"/>
          <w:caps w:val="0"/>
          <w:lang w:eastAsia="en-US"/>
        </w:rPr>
        <w:t>.20</w:t>
      </w:r>
      <w:r>
        <w:rPr>
          <w:rFonts w:hint="default" w:eastAsia="Calibri"/>
          <w:b w:val="0"/>
          <w:caps w:val="0"/>
          <w:lang w:val="ru-RU" w:eastAsia="en-US"/>
        </w:rPr>
        <w:t>21</w:t>
      </w:r>
      <w:r>
        <w:rPr>
          <w:rFonts w:eastAsia="Calibri"/>
          <w:b w:val="0"/>
          <w:caps w:val="0"/>
          <w:lang w:eastAsia="en-US"/>
        </w:rPr>
        <w:t xml:space="preserve"> № </w:t>
      </w:r>
      <w:r>
        <w:rPr>
          <w:rFonts w:hint="default" w:eastAsia="Calibri"/>
          <w:b w:val="0"/>
          <w:caps w:val="0"/>
          <w:lang w:val="ru-RU" w:eastAsia="en-US"/>
        </w:rPr>
        <w:t>57</w:t>
      </w:r>
    </w:p>
    <w:p>
      <w:pPr>
        <w:rPr>
          <w:rFonts w:eastAsia="Calibri"/>
          <w:lang w:eastAsia="en-US"/>
        </w:rPr>
      </w:pPr>
    </w:p>
    <w:p>
      <w:pPr>
        <w:pStyle w:val="2"/>
        <w:tabs>
          <w:tab w:val="clear" w:pos="1560"/>
        </w:tabs>
        <w:spacing w:before="0" w:after="0"/>
        <w:ind w:left="0" w:firstLine="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Паспорт</w:t>
      </w:r>
    </w:p>
    <w:p>
      <w:pPr>
        <w:pStyle w:val="2"/>
        <w:tabs>
          <w:tab w:val="clear" w:pos="1560"/>
        </w:tabs>
        <w:spacing w:before="0" w:after="0"/>
        <w:ind w:left="0" w:firstLine="0"/>
        <w:jc w:val="center"/>
        <w:rPr>
          <w:color w:val="000000"/>
        </w:rPr>
      </w:pPr>
      <w:r>
        <w:t xml:space="preserve">МУНИЦИПАЛЬНОЙ ПРОГРАММЫ </w:t>
      </w:r>
      <w:r>
        <w:rPr>
          <w:color w:val="000000"/>
        </w:rPr>
        <w:t xml:space="preserve">сельского поселения </w:t>
      </w:r>
      <w:bookmarkStart w:id="0" w:name="_GoBack"/>
      <w:bookmarkEnd w:id="0"/>
      <w:r>
        <w:t>СЕЛИЯРОВО</w:t>
      </w:r>
    </w:p>
    <w:p>
      <w:pPr>
        <w:rPr>
          <w:sz w:val="28"/>
          <w:szCs w:val="28"/>
        </w:rPr>
      </w:pPr>
    </w:p>
    <w:tbl>
      <w:tblPr>
        <w:tblStyle w:val="12"/>
        <w:tblW w:w="97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70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Энергосбережение и повышение энергетической эффективности сельского поселения Селиярово  на 20</w:t>
            </w:r>
            <w:r>
              <w:rPr>
                <w:rFonts w:hint="default"/>
                <w:sz w:val="28"/>
                <w:szCs w:val="28"/>
                <w:lang w:val="ru-RU"/>
              </w:rPr>
              <w:t>22</w:t>
            </w:r>
            <w:r>
              <w:rPr>
                <w:sz w:val="28"/>
                <w:szCs w:val="28"/>
              </w:rPr>
              <w:t xml:space="preserve"> – 202</w:t>
            </w:r>
            <w:r>
              <w:rPr>
                <w:rFonts w:hint="default"/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 xml:space="preserve"> годы (далее – Программа)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083" w:type="dxa"/>
            <w:noWrap w:val="0"/>
            <w:vAlign w:val="center"/>
          </w:tcPr>
          <w:p>
            <w:pPr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Администрация  сельского поселения Селиярово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 8618006232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Организационно-правовая форма – казенное учреждение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адрес: 628506, Тюменская область, Ханты-Мансийский район, село Селиярово, ул. Братьев Фирсовых, д.24а</w:t>
            </w:r>
          </w:p>
          <w:p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Фактический адрес: 628506, Тюменская область, Ханты-Мансийский район, село Селиярово</w:t>
            </w:r>
            <w:r>
              <w:rPr>
                <w:bCs/>
                <w:sz w:val="28"/>
                <w:szCs w:val="28"/>
              </w:rPr>
              <w:t>, ул. Братьев Фирсовых, д.24а</w:t>
            </w:r>
          </w:p>
          <w:p>
            <w:pPr>
              <w:rPr>
                <w:rFonts w:eastAsia="SimSun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 xml:space="preserve">муниципального образования  сельского поселения Селиярово: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Повышение эффективности использования топливно-энергетических ресурсов.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Задачи муниципальной программы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1) повышение</w:t>
            </w:r>
            <w:r>
              <w:rPr>
                <w:rFonts w:eastAsia="Calibri"/>
                <w:color w:val="0070C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э</w:t>
            </w:r>
            <w:r>
              <w:rPr>
                <w:bCs/>
                <w:sz w:val="28"/>
                <w:szCs w:val="28"/>
              </w:rPr>
              <w:t>нергетической эффективности при потреблении энергетических ресурсов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2) </w:t>
            </w:r>
            <w:r>
              <w:rPr>
                <w:bCs/>
                <w:sz w:val="28"/>
                <w:szCs w:val="28"/>
              </w:rPr>
              <w:t>создание условий для реализации муниципальных целевых индикаторов в сфере энергосбережения и повышения энергетической эффективности и энергобезопасности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Подпрограммы или основные мероприятия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Подпрограмма 1 «Повышение энергетической эффективности систем коммунальной инфраструктуры»;</w:t>
            </w:r>
          </w:p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Подпрограмма 2 «</w:t>
            </w:r>
            <w:r>
              <w:rPr>
                <w:color w:val="000000"/>
                <w:sz w:val="28"/>
                <w:szCs w:val="28"/>
              </w:rPr>
              <w:t>Модернизация и реконструкция систем электроснабжения, водопотребления и теплоснабжения»;</w:t>
            </w:r>
          </w:p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Подпрограмма 3 «Организация учета сокращения потерь энергоресурсов, обучение и информационная поддержка в области энергосбережения».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объема электрической энергии, расчеты за которую осуществляются с использованием приборов учета – 100 %</w:t>
            </w:r>
            <w:r>
              <w:rPr>
                <w:rFonts w:eastAsia="Calibri"/>
                <w:sz w:val="28"/>
                <w:szCs w:val="28"/>
              </w:rPr>
              <w:t>;</w:t>
            </w:r>
          </w:p>
          <w:p>
            <w:pPr>
              <w:tabs>
                <w:tab w:val="left" w:pos="1806"/>
              </w:tabs>
              <w:rPr>
                <w:sz w:val="28"/>
              </w:rPr>
            </w:pPr>
            <w:r>
              <w:rPr>
                <w:sz w:val="28"/>
                <w:szCs w:val="28"/>
              </w:rPr>
              <w:t>Доля объема холодной воды, расчеты за которую осуществляются с использованием приборов учета, в общем объеме воды – 100 %;</w:t>
            </w:r>
          </w:p>
          <w:p>
            <w:pPr>
              <w:tabs>
                <w:tab w:val="left" w:pos="1806"/>
              </w:tabs>
              <w:rPr>
                <w:sz w:val="28"/>
              </w:rPr>
            </w:pPr>
            <w:r>
              <w:rPr>
                <w:rFonts w:eastAsia="Calibri"/>
                <w:sz w:val="28"/>
              </w:rPr>
              <w:t xml:space="preserve">Сокращение </w:t>
            </w:r>
            <w:r>
              <w:rPr>
                <w:sz w:val="28"/>
              </w:rPr>
              <w:t>удельного расхода холодной воды в многоквартирных домах (с 9,63 до 9,34 м</w:t>
            </w:r>
            <w:r>
              <w:rPr>
                <w:sz w:val="28"/>
                <w:vertAlign w:val="superscript"/>
              </w:rPr>
              <w:t>3</w:t>
            </w:r>
            <w:r>
              <w:rPr>
                <w:sz w:val="28"/>
              </w:rPr>
              <w:t>/чел.);</w:t>
            </w:r>
          </w:p>
          <w:p>
            <w:pPr>
              <w:rPr>
                <w:sz w:val="32"/>
                <w:szCs w:val="28"/>
              </w:rPr>
            </w:pPr>
            <w:r>
              <w:rPr>
                <w:sz w:val="28"/>
              </w:rPr>
              <w:t>Сокращение удельного расхода электрической энергии в системах уличного освещения (с 3,59 до 3,45 кВтч/м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>22</w:t>
            </w:r>
            <w:r>
              <w:rPr>
                <w:rFonts w:eastAsia="Calibri"/>
                <w:sz w:val="28"/>
                <w:szCs w:val="28"/>
              </w:rPr>
              <w:t xml:space="preserve"> – 202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>4</w:t>
            </w:r>
            <w:r>
              <w:rPr>
                <w:rFonts w:eastAsia="Calibri"/>
                <w:sz w:val="28"/>
                <w:szCs w:val="28"/>
              </w:rPr>
              <w:t xml:space="preserve"> годы</w:t>
            </w:r>
          </w:p>
          <w:p>
            <w:pPr>
              <w:rPr>
                <w:rFonts w:eastAsia="Calibri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Финансовое обеспечение муниципальной программы</w:t>
            </w:r>
          </w:p>
        </w:tc>
        <w:tc>
          <w:tcPr>
            <w:tcW w:w="7083" w:type="dxa"/>
            <w:noWrap w:val="0"/>
            <w:vAlign w:val="top"/>
          </w:tcPr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общий объем финансирования Программы составляет 7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>50</w:t>
            </w:r>
            <w:r>
              <w:rPr>
                <w:rFonts w:eastAsia="Calibri"/>
                <w:sz w:val="28"/>
                <w:szCs w:val="28"/>
              </w:rPr>
              <w:t>,0 тыс. рублей, в том числе:</w:t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>22</w:t>
            </w:r>
            <w:r>
              <w:rPr>
                <w:rFonts w:eastAsia="Calibri"/>
                <w:sz w:val="28"/>
                <w:szCs w:val="28"/>
              </w:rPr>
              <w:t xml:space="preserve"> год  – 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>0</w:t>
            </w:r>
            <w:r>
              <w:rPr>
                <w:rFonts w:eastAsia="Calibri"/>
                <w:sz w:val="28"/>
                <w:szCs w:val="28"/>
              </w:rPr>
              <w:t>,0 тыс. рублей;</w:t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>23</w:t>
            </w:r>
            <w:r>
              <w:rPr>
                <w:rFonts w:eastAsia="Calibri"/>
                <w:sz w:val="28"/>
                <w:szCs w:val="28"/>
              </w:rPr>
              <w:t xml:space="preserve"> год – 0,0 тыс. рублей;</w:t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>24</w:t>
            </w:r>
            <w:r>
              <w:rPr>
                <w:rFonts w:eastAsia="Calibri"/>
                <w:sz w:val="28"/>
                <w:szCs w:val="28"/>
              </w:rPr>
              <w:t xml:space="preserve"> год – 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>7</w:t>
            </w:r>
            <w:r>
              <w:rPr>
                <w:rFonts w:eastAsia="Calibri"/>
                <w:sz w:val="28"/>
                <w:szCs w:val="28"/>
              </w:rPr>
              <w:t xml:space="preserve">50,0 тыс. рублей; в том числе: </w:t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бюджет автономного округа – 0 тыс. рублей;</w:t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бюджет района – 0 тыс. рублей;</w:t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бюджет поселения – 7</w:t>
            </w:r>
            <w:r>
              <w:rPr>
                <w:rFonts w:hint="default" w:eastAsia="Calibri"/>
                <w:sz w:val="28"/>
                <w:szCs w:val="28"/>
                <w:lang w:val="ru-RU"/>
              </w:rPr>
              <w:t>50</w:t>
            </w:r>
            <w:r>
              <w:rPr>
                <w:rFonts w:eastAsia="Calibri"/>
                <w:sz w:val="28"/>
                <w:szCs w:val="28"/>
              </w:rPr>
              <w:t>,0 тыс. рублей.</w:t>
            </w:r>
          </w:p>
        </w:tc>
      </w:tr>
    </w:tbl>
    <w:p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Краткая характеристика текущего состояния сферы социально-экономического развития сельского поселения Селиярово</w:t>
      </w:r>
    </w:p>
    <w:p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Реализация муниципальной программы направлена на устранение проблем в системах коммунальной инфраструктуры сельского поселения Селиярово, которыми являются  100% замена светильников наружного освещения на светодиодные лампы накаливания в уличном освещении, своевременная замена ламп наружного освещения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вышедших из строя.</w:t>
      </w:r>
      <w:r>
        <w:rPr>
          <w:sz w:val="28"/>
          <w:szCs w:val="28"/>
        </w:rPr>
        <w:tab/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проблемами жилищного фонда сельского поселения Селиярово в области энергосбережения и повышения энергетической эффективности являются отсутствие утепления ограждающих конструкций зданий старой постройки и несоблюдение температурных режимов в системе отопления,  не 100% использование энергосберегающих светодиодных ламп накаливания для освещения мест общего пользования, недостаточная мотивация потребителей энергоресурсов в жилищном фонде к внедрению энергосберегающих технологий.</w:t>
      </w:r>
    </w:p>
    <w:p>
      <w:pPr>
        <w:suppressAutoHyphens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Проблема энергосбережения носит многоцелевой и межотраслевой характер, затрагивающий интересы всех сфер экономики и социальной сферы, является одной из важных составляющих повышения конкурентоспособности экономики.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указанных проблем необходима разработка и реализация комплекса мероприятий по энергосбережению и повышению энергетической эффективности на территории сельского поселения Селиярово, оценка внедрения инвестиционных проектов, отбор наиболее привлекательных объектов для инвестиций, направленных на достижение максимального энергосберегающего, экономического и экологического эффекта при минимальных капиталовложениях.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обеспечивает решение задач по повышению энергоэффективности, по снижению расходов на энерго - и водообеспечение за счет реализации комплексного подхода ко всем участникам процесса энергосбережения:</w:t>
      </w:r>
    </w:p>
    <w:p>
      <w:pPr>
        <w:numPr>
          <w:ilvl w:val="0"/>
          <w:numId w:val="1"/>
        </w:numPr>
        <w:suppressAutoHyphens w:val="0"/>
        <w:spacing w:line="276" w:lineRule="auto"/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коммунального комплекса;</w:t>
      </w:r>
    </w:p>
    <w:p>
      <w:pPr>
        <w:numPr>
          <w:ilvl w:val="0"/>
          <w:numId w:val="1"/>
        </w:numPr>
        <w:suppressAutoHyphens w:val="0"/>
        <w:spacing w:line="276" w:lineRule="auto"/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>населению;</w:t>
      </w:r>
    </w:p>
    <w:p>
      <w:pPr>
        <w:numPr>
          <w:ilvl w:val="0"/>
          <w:numId w:val="1"/>
        </w:numPr>
        <w:suppressAutoHyphens w:val="0"/>
        <w:spacing w:line="276" w:lineRule="auto"/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>прочим потребителям.</w:t>
      </w:r>
    </w:p>
    <w:p>
      <w:pPr>
        <w:pStyle w:val="55"/>
        <w:ind w:firstLine="709"/>
        <w:rPr>
          <w:rFonts w:ascii="Times New Roman" w:hAnsi="Times New Roman"/>
          <w:sz w:val="28"/>
          <w:szCs w:val="28"/>
        </w:rPr>
      </w:pPr>
    </w:p>
    <w:p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2. Стимулирование инвестиционной и инновационной деятельности, развитие конкуренции и негосударственного сектора экономики</w:t>
      </w:r>
    </w:p>
    <w:p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Развитие материально-технической базы.</w:t>
      </w:r>
    </w:p>
    <w:p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муниципальной программе строительство объектов капитального строительства не осуществляется.</w:t>
      </w:r>
    </w:p>
    <w:p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Формирование благоприятной деловой среды.</w:t>
      </w:r>
    </w:p>
    <w:p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Мероприятия, проводимые в рамках муниципальной программы, не предусматривает регулирование отношений в сфере предпринимательской деятельности.</w:t>
      </w:r>
    </w:p>
    <w:p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Реализация инвестиционных проектов.</w:t>
      </w:r>
    </w:p>
    <w:p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муниципальной программы не предусмотрена реализация инвестиционных проектов. </w:t>
      </w: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Развитие конкуренции.</w:t>
      </w:r>
    </w:p>
    <w:p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Мероприятия, проводимые в рамках муниципальной программы, не содержат меры по развитию конкуренции и содействию импортозамещению в сельском поселении Селиярово, реализации стандарта развития конкуренции.</w:t>
      </w:r>
    </w:p>
    <w:p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Реализация проектов и портфелей проектов.</w:t>
      </w:r>
    </w:p>
    <w:p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муниципальной программы не предусматривают реализацию проектов и портфелей проектов, в том числе реализацию приоритетных проектов по основным направлениям стратегического развития Ханты-Мансийского автономного округа - Югры.</w:t>
      </w:r>
    </w:p>
    <w:p>
      <w:pPr>
        <w:suppressAutoHyphens w:val="0"/>
        <w:spacing w:line="276" w:lineRule="auto"/>
        <w:ind w:left="1276"/>
        <w:jc w:val="center"/>
        <w:rPr>
          <w:b/>
        </w:rPr>
      </w:pPr>
    </w:p>
    <w:p>
      <w:pPr>
        <w:suppressAutoHyphens w:val="0"/>
        <w:spacing w:line="276" w:lineRule="auto"/>
        <w:ind w:left="1276"/>
        <w:jc w:val="center"/>
        <w:rPr>
          <w:b/>
        </w:rPr>
      </w:pPr>
    </w:p>
    <w:p>
      <w:pPr>
        <w:suppressAutoHyphens w:val="0"/>
        <w:spacing w:line="276" w:lineRule="auto"/>
        <w:ind w:left="1276"/>
        <w:jc w:val="center"/>
        <w:rPr>
          <w:b/>
        </w:rPr>
      </w:pPr>
    </w:p>
    <w:p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Цели, задачи и показатели их достижения</w:t>
      </w:r>
    </w:p>
    <w:p/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Целью муниципальной программы является повышение эффективности использования топливно-энергетических ресурсов.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муниципальной программы соответствует:</w:t>
      </w:r>
    </w:p>
    <w:p>
      <w:pPr>
        <w:numPr>
          <w:ilvl w:val="0"/>
          <w:numId w:val="2"/>
        </w:numPr>
        <w:suppressAutoHyphens w:val="0"/>
        <w:spacing w:line="276" w:lineRule="auto"/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>положению указов Президента Российской Федерации;</w:t>
      </w:r>
    </w:p>
    <w:p>
      <w:pPr>
        <w:numPr>
          <w:ilvl w:val="0"/>
          <w:numId w:val="2"/>
        </w:numPr>
        <w:suppressAutoHyphens w:val="0"/>
        <w:spacing w:line="276" w:lineRule="auto"/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>стратегии социально-экономического развития Ханты-</w:t>
      </w:r>
    </w:p>
    <w:p>
      <w:pPr>
        <w:numPr>
          <w:numId w:val="0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Мансийского автономного округа – Югры до 2020 года и на период до 2030 года;</w:t>
      </w:r>
    </w:p>
    <w:p>
      <w:pPr>
        <w:numPr>
          <w:ilvl w:val="0"/>
          <w:numId w:val="2"/>
        </w:numPr>
        <w:suppressAutoHyphens w:val="0"/>
        <w:spacing w:line="276" w:lineRule="auto"/>
        <w:ind w:left="12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приоритетам социально-экономического развития района, </w:t>
      </w:r>
    </w:p>
    <w:p>
      <w:pPr>
        <w:numPr>
          <w:numId w:val="0"/>
        </w:numPr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определенным стратегией социально-экономического развития Ханты-Мансийского района до 2020 года и на период до 2030 года и другим документам Российской Федерации, Ханты-Мансийского автономного округа – Югры, Ханты-Мансийского района, сельского поселения Селиярово.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цели муниципальной программы будет обеспечено путем решения следующих задач:</w:t>
      </w:r>
    </w:p>
    <w:p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повышение э</w:t>
      </w:r>
      <w:r>
        <w:rPr>
          <w:bCs/>
          <w:sz w:val="28"/>
          <w:szCs w:val="28"/>
        </w:rPr>
        <w:t>нергетической эффективности при потреблении энергетических ресурсов</w:t>
      </w:r>
      <w:r>
        <w:rPr>
          <w:rFonts w:eastAsia="Calibri"/>
          <w:sz w:val="28"/>
          <w:szCs w:val="28"/>
          <w:lang w:eastAsia="en-US"/>
        </w:rPr>
        <w:t>;</w:t>
      </w:r>
    </w:p>
    <w:p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2) </w:t>
      </w:r>
      <w:r>
        <w:rPr>
          <w:bCs/>
          <w:sz w:val="28"/>
          <w:szCs w:val="28"/>
        </w:rPr>
        <w:t>создание условий для реализации муниципальных целевых индикаторов в сфере энергосбережения и повышения энергетической эффективности и энергобезопасности</w:t>
      </w:r>
      <w:r>
        <w:rPr>
          <w:rFonts w:eastAsia="Calibri"/>
          <w:sz w:val="28"/>
          <w:szCs w:val="28"/>
          <w:lang w:eastAsia="en-US"/>
        </w:rPr>
        <w:t>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цели муниципальной программы определяется целевыми показателями муниципальной программы, представленными в таблице 1.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в области энергосбережения и повышения энергетической эффективности по отраслям экономики включены в перечень целевых показателей муниципальной программы в соответствии с постановлением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эффективности». Целевые показатели в области энергосбережения и повышения энергетической эффективности рассчитываются по отношению к значениям соответствующих показателей в году, предшествующем году начала реализации Программы, а целевые показатели, отражающие оснащенность приборами учета энергетических ресурсов, рассчитываются в отношении объектов, подключенных к электрическим сетям централизованного электроснабжения, и (или) системам централизованного водоснабжения.</w:t>
      </w:r>
    </w:p>
    <w:p>
      <w:pPr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Характеристика основных мероприятий Программы</w:t>
      </w:r>
    </w:p>
    <w:p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поставленной цели и решение задач Программы предусмотрено посредством реализации комплекса мероприятий, объединенных в таблице 2.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подпрограммы 1 «Повышение энергетической эффективности систем коммунальной инфраструктуры» предусмотрена реализация мероприятий: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Замена изношенных сетей электроснабжения в жилом фонде;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- Сокращение потерь электрической энергии при их передаче.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подпрограмму 2 «Модернизация и реконструкция систем электроснабжения, водопотребления и теплоснабжения» вошли мероприятия по замене ламп накаливания на энергосберегающие, установка автоматизированных систем управления освещения и др.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3 «Организация учета сокращения потерь энергоресурсов, обучение и информационная поддержка в области энергосбережения» включает в себя проведение мероприятий по энергосбережению и повышению энергетической эффективности, проведение которых возможно с использованием внебюджетных средств, установленных постановлением    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Данное направление включает в себя мероприятия, направленные на сокращение потерь электрической энергии, снижение потребления энергетических ресурсов, а также включает в себя мероприятия по регулированию цен, информационной поддержке, организации порядка управления бесхозяйными объектами.</w:t>
      </w:r>
    </w:p>
    <w:p>
      <w:pPr>
        <w:ind w:firstLine="708"/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5. Механизм реализации муниципальной программы</w:t>
      </w:r>
    </w:p>
    <w:p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и решения задач Программы определен организационно-правовой механизм, предусматривающий взаимодействие между ответственным исполнителем и соисполнителями.</w:t>
      </w:r>
    </w:p>
    <w:p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Реализация мероприятий, предусмотренных Программой, представляет собой скоординированные по срокам и направлениям действия исполнителей конкретных мероприятий, субъектов финансовой поддержки и будет осуществляться на основе муниципальных контрактов (договоров), заключаемых исполнителями Программы в соответствии с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Федеральным законом </w:t>
      </w:r>
      <w:r>
        <w:rPr>
          <w:rFonts w:eastAsia="Calibri"/>
          <w:sz w:val="28"/>
          <w:szCs w:val="28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Контроль за ходом реализации мероприятий Программы осуществляет администрация сельского поселения </w:t>
      </w:r>
      <w:r>
        <w:rPr>
          <w:sz w:val="28"/>
          <w:szCs w:val="28"/>
        </w:rPr>
        <w:t>Селиярово</w:t>
      </w:r>
      <w:r>
        <w:rPr>
          <w:rFonts w:eastAsia="Calibri"/>
          <w:sz w:val="28"/>
          <w:szCs w:val="28"/>
          <w:lang w:eastAsia="en-US"/>
        </w:rPr>
        <w:t>.</w:t>
      </w:r>
    </w:p>
    <w:p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  <w:sectPr>
          <w:headerReference r:id="rId3" w:type="default"/>
          <w:pgSz w:w="11906" w:h="16838"/>
          <w:pgMar w:top="1418" w:right="1247" w:bottom="1134" w:left="1588" w:header="709" w:footer="0" w:gutter="0"/>
          <w:cols w:space="720" w:num="1"/>
          <w:docGrid w:linePitch="360" w:charSpace="0"/>
        </w:sectPr>
      </w:pPr>
    </w:p>
    <w:p>
      <w:pPr>
        <w:jc w:val="right"/>
      </w:pPr>
      <w:r>
        <w:t>Таблица 1</w:t>
      </w:r>
    </w:p>
    <w:p>
      <w:pPr>
        <w:jc w:val="center"/>
      </w:pPr>
      <w:r>
        <w:t>Целевые показатели муниципальной программы</w:t>
      </w:r>
    </w:p>
    <w:p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Style w:val="12"/>
        <w:tblW w:w="15451" w:type="dxa"/>
        <w:tblInd w:w="-5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5800"/>
        <w:gridCol w:w="1572"/>
        <w:gridCol w:w="1755"/>
        <w:gridCol w:w="1530"/>
        <w:gridCol w:w="1584"/>
        <w:gridCol w:w="24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показателя</w:t>
            </w:r>
          </w:p>
        </w:tc>
        <w:tc>
          <w:tcPr>
            <w:tcW w:w="5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показателей результатов</w:t>
            </w:r>
          </w:p>
        </w:tc>
        <w:tc>
          <w:tcPr>
            <w:tcW w:w="15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Базовый показатель на начало реализации муниципальной программы</w:t>
            </w:r>
          </w:p>
        </w:tc>
        <w:tc>
          <w:tcPr>
            <w:tcW w:w="48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Значения целевых показателей по годам</w:t>
            </w:r>
          </w:p>
        </w:tc>
        <w:tc>
          <w:tcPr>
            <w:tcW w:w="2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Целевое значение показателя на момент окончания действия муниципальной программы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  <w:tblHeader/>
        </w:trPr>
        <w:tc>
          <w:tcPr>
            <w:tcW w:w="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>
              <w:rPr>
                <w:rFonts w:hint="default"/>
                <w:color w:val="000000"/>
                <w:lang w:val="ru-RU"/>
              </w:rPr>
              <w:t>22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>
              <w:rPr>
                <w:rFonts w:hint="default"/>
                <w:color w:val="000000"/>
                <w:lang w:val="ru-RU"/>
              </w:rPr>
              <w:t>23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>
              <w:rPr>
                <w:rFonts w:hint="default"/>
                <w:color w:val="000000"/>
                <w:lang w:val="ru-RU"/>
              </w:rPr>
              <w:t>24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2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b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 в области энергосбережения и повышения энергетической эффективности по отраслям экономики в соответствии с Постановлением Правительства Российской Федерации от 31 декабря 2009 г. № 1225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 Общие целевые показатели в области энергосбережения и повышения энергетической эффективности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муниципального образования, %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 w:bidi="ar-SA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 w:bidi="ar-SA"/>
              </w:rPr>
            </w:pPr>
            <w:r>
              <w:rPr>
                <w:color w:val="000000"/>
              </w:rPr>
              <w:t>100,0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муниципального образования, %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образования, %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муниципального образования, %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1.5.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муниципального образования, %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муниципального образования, %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 Целевые показатели в области энергосбережения и повышения энергетической эффективности в транспортном комплексе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образованием, шт.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Количество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качестве моторного топлива, и электрической энергией, шт.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муниципальным образованием, шт.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Количество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муниципальным образованием, шт.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2.5.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топлива, шт.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2.6.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предприятиями, шт.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 Целевые показатели в области энергосбережения и повышения энергетической эффективности в муниципальном секторе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электрической энергии на снабжение органов местного самоуправления и муниципальных учреждений (в расчете на 1 кв. метр общей площади), кВтч/м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тепловой энергии на снабжение органов местного самоуправления и муниципальных учреждений (в расчете на 1 кв. метр общей площади), Гкал/м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человека),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/чел.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горячей воды на снабжение органов местного самоуправления и муниципальных учреждений (в расчете на 1 человека),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/чел.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человека),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/чел.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3.6.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Отношение экономии энергетических ресурсов и воды в стоимостном выражении, достижение которой планируется в результате реализации энергосервисных договоров (контрактов), заключенных органами местного самоуправления и муниципальными учреждениями, к общему объему финансирования муниципальной программы, %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3.7.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Количество энергосервисных договоров (контрактов), заключенных органами местного самоуправления и муниципальными учреждениями, шт.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 Целевые показатели в области энергосбережения и повышения энергетической эффективности в жилищном фонде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тепловой энергии в многоквартирных домах (в расчете на 1 кв. метр общей площади), Гкал/м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холодной воды в многоквартирных домах (в расчете на 1 жителя),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/чел.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color w:val="000000"/>
              </w:rPr>
              <w:t>9,</w:t>
            </w:r>
            <w:r>
              <w:rPr>
                <w:rFonts w:hint="default"/>
                <w:color w:val="000000"/>
                <w:lang w:val="ru-RU"/>
              </w:rPr>
              <w:t>34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9,34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9,34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9,34</w:t>
            </w:r>
          </w:p>
          <w:p>
            <w:pPr>
              <w:jc w:val="center"/>
              <w:rPr>
                <w:color w:val="00000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горячей воды в многоквартирных домах (в расчете на 1 жителя),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/чел.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электрической энергии в многоквартирных домах (в расчете на 1 кв. метр общей площади), кВтч/м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252,2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242,1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242,1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242,1</w:t>
            </w:r>
          </w:p>
          <w:p>
            <w:pPr>
              <w:jc w:val="center"/>
              <w:rPr>
                <w:color w:val="000000"/>
                <w:highlight w:val="none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  <w:t>242.1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природного газа в многоквартирных домах с иными системами теплоснабжения (в расчете на 1 жителя),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/чел.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природного газа в многоквартирных домах с индивидуальными системами газового отопления (в расчете на 1 кв. метр общей площади),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суммарный расход энергетических ресурсов в многоквартирных домах, т.у.т./м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0,016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0,016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0,016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0,016</w:t>
            </w: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 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топлива на выработку тепловой энергии на тепловых электростанциях, т.у.т./ тыс.МВтч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топлива на выработку тепловой энергии на котельных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5.2.1.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На природном газе, тыс.м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 тыс. Гкал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5.2.2.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На твердом топливе, тыс.т/ тыс. Гкал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электрической энергии, используемой при передаче тепловой энергии в системах теплоснабжения, кВтч/тыс. Гкал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5.4.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Доля потерь тепловой энергии при ее передаче в общем объеме переданной тепловой энергии, %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5.5.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Доля потерь воды при ее передаче в общем объеме переданной воды, %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5,6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5,6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5,6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5,6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5.6.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электрической энергии, используемой для передачи (транспортировки) воды в системах водоснабжения (на 1 куб. метр), кВтч/м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0,73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0,73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0,73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0,73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5.7.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электрической энергии, используемой в системах водоотведения (на 1 куб. метр), кВтч/м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5.8.</w:t>
            </w:r>
          </w:p>
        </w:tc>
        <w:tc>
          <w:tcPr>
            <w:tcW w:w="5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нормативам), кВтч/м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  <w:tc>
          <w:tcPr>
            <w:tcW w:w="1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3,45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3,45</w:t>
            </w:r>
          </w:p>
        </w:tc>
        <w:tc>
          <w:tcPr>
            <w:tcW w:w="1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3,45</w:t>
            </w:r>
          </w:p>
          <w:p>
            <w:pPr>
              <w:jc w:val="center"/>
            </w:pPr>
          </w:p>
        </w:tc>
        <w:tc>
          <w:tcPr>
            <w:tcW w:w="2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3,45</w:t>
            </w:r>
          </w:p>
        </w:tc>
      </w:tr>
    </w:tbl>
    <w:p>
      <w:pPr>
        <w:autoSpaceDE w:val="0"/>
        <w:autoSpaceDN w:val="0"/>
        <w:adjustRightInd w:val="0"/>
        <w:jc w:val="center"/>
        <w:rPr>
          <w:szCs w:val="28"/>
        </w:rPr>
      </w:pPr>
    </w:p>
    <w:p>
      <w:pPr>
        <w:keepNext/>
        <w:jc w:val="right"/>
      </w:pPr>
      <w:r>
        <w:t>Таблица 2</w:t>
      </w:r>
    </w:p>
    <w:p>
      <w:pPr>
        <w:keepNext/>
        <w:jc w:val="center"/>
      </w:pPr>
      <w:r>
        <w:t>Перечень основных мероприятий муниципальной программы</w:t>
      </w:r>
    </w:p>
    <w:p>
      <w:pPr>
        <w:keepNext/>
        <w:jc w:val="center"/>
      </w:pPr>
    </w:p>
    <w:tbl>
      <w:tblPr>
        <w:tblStyle w:val="12"/>
        <w:tblW w:w="15248" w:type="dxa"/>
        <w:tblInd w:w="-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3827"/>
        <w:gridCol w:w="1844"/>
        <w:gridCol w:w="2631"/>
        <w:gridCol w:w="2039"/>
        <w:gridCol w:w="1410"/>
        <w:gridCol w:w="1260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9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основного мероприятия</w:t>
            </w:r>
          </w:p>
        </w:tc>
        <w:tc>
          <w:tcPr>
            <w:tcW w:w="3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мероприятия муниципальной программы (связь мероприятий с показателями муниципальной программы)</w:t>
            </w: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(соисполнитель)</w:t>
            </w:r>
          </w:p>
        </w:tc>
        <w:tc>
          <w:tcPr>
            <w:tcW w:w="2631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Источники финансирования</w:t>
            </w:r>
          </w:p>
        </w:tc>
        <w:tc>
          <w:tcPr>
            <w:tcW w:w="5954" w:type="dxa"/>
            <w:gridSpan w:val="4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Финансовые затраты на реализацию (тыс. руб.)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rPr>
                <w:color w:val="000000"/>
              </w:rPr>
            </w:pPr>
          </w:p>
        </w:tc>
        <w:tc>
          <w:tcPr>
            <w:tcW w:w="263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rPr>
                <w:color w:val="000000"/>
              </w:rPr>
            </w:pPr>
          </w:p>
        </w:tc>
        <w:tc>
          <w:tcPr>
            <w:tcW w:w="2039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915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tblHeader/>
        </w:trPr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rPr>
                <w:color w:val="000000"/>
              </w:rPr>
            </w:pPr>
          </w:p>
        </w:tc>
        <w:tc>
          <w:tcPr>
            <w:tcW w:w="2631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rPr>
                <w:color w:val="000000"/>
              </w:rPr>
            </w:pPr>
          </w:p>
        </w:tc>
        <w:tc>
          <w:tcPr>
            <w:tcW w:w="2039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rPr>
                <w:color w:val="000000"/>
              </w:rPr>
            </w:pP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>
              <w:rPr>
                <w:rFonts w:hint="default"/>
                <w:color w:val="000000"/>
                <w:lang w:val="ru-RU"/>
              </w:rPr>
              <w:t>22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>
              <w:rPr>
                <w:rFonts w:hint="default"/>
                <w:color w:val="000000"/>
                <w:lang w:val="ru-RU"/>
              </w:rPr>
              <w:t>23</w:t>
            </w:r>
            <w:r>
              <w:rPr>
                <w:color w:val="000000"/>
              </w:rPr>
              <w:t xml:space="preserve"> год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keepNext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>
              <w:rPr>
                <w:rFonts w:hint="default"/>
                <w:color w:val="000000"/>
                <w:lang w:val="ru-RU"/>
              </w:rPr>
              <w:t>24</w:t>
            </w:r>
            <w:r>
              <w:rPr>
                <w:color w:val="000000"/>
              </w:rPr>
              <w:t xml:space="preserve"> год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5248" w:type="dxa"/>
            <w:gridSpan w:val="8"/>
            <w:noWrap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Подпрограмма I: Повышение энергетической эффективности систем коммунальной инфраструктуры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t>Замена изношенных сетей электроснабжения в жилом фонде</w:t>
            </w:r>
          </w:p>
        </w:tc>
        <w:tc>
          <w:tcPr>
            <w:tcW w:w="1844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1</w:t>
            </w:r>
            <w:r>
              <w:rPr>
                <w:color w:val="000000"/>
              </w:rPr>
              <w:t>50,0</w:t>
            </w:r>
          </w:p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1</w:t>
            </w:r>
            <w:r>
              <w:rPr>
                <w:color w:val="000000"/>
              </w:rPr>
              <w:t>50,0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3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Сокращение потерь электрической энергии, тепловой энергии при их передаче</w:t>
            </w: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Жильцы квартир</w:t>
            </w: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4819" w:type="dxa"/>
            <w:gridSpan w:val="2"/>
            <w:vMerge w:val="restart"/>
            <w:noWrap/>
            <w:tcMar>
              <w:left w:w="28" w:type="dxa"/>
              <w:right w:w="28" w:type="dxa"/>
            </w:tcMar>
            <w:vAlign w:val="center"/>
          </w:tcPr>
          <w:p>
            <w:r>
              <w:rPr>
                <w:color w:val="000000"/>
              </w:rPr>
              <w:t>Итого по подпрограмме I</w:t>
            </w: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1</w:t>
            </w:r>
            <w:r>
              <w:rPr>
                <w:color w:val="000000"/>
              </w:rPr>
              <w:t>50,0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4819" w:type="dxa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/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color w:val="000000"/>
              </w:rPr>
              <w:t>0,</w:t>
            </w:r>
            <w:r>
              <w:rPr>
                <w:rFonts w:hint="default"/>
                <w:color w:val="000000"/>
                <w:lang w:val="ru-RU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4819" w:type="dxa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/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4819" w:type="dxa"/>
            <w:gridSpan w:val="2"/>
            <w:vMerge w:val="continue"/>
            <w:noWrap/>
            <w:tcMar>
              <w:left w:w="28" w:type="dxa"/>
              <w:right w:w="28" w:type="dxa"/>
            </w:tcMar>
            <w:vAlign w:val="center"/>
          </w:tcPr>
          <w:p/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1</w:t>
            </w:r>
            <w:r>
              <w:rPr>
                <w:color w:val="000000"/>
              </w:rPr>
              <w:t>50,0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5248" w:type="dxa"/>
            <w:gridSpan w:val="8"/>
            <w:noWrap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Подпрограмма II: Модернизация и реконструкция систем электроснабжения, водопотребления и теплоснабжения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99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3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t>Замена  ламп накаливания уличного освещения на энергосберегающие лампы</w:t>
            </w: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rFonts w:hint="default"/>
                <w:color w:val="000000"/>
                <w:lang w:val="ru-RU"/>
              </w:rPr>
              <w:t>00</w:t>
            </w:r>
            <w:r>
              <w:rPr>
                <w:color w:val="000000"/>
              </w:rPr>
              <w:t>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10</w:t>
            </w: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200</w:t>
            </w:r>
            <w:r>
              <w:rPr>
                <w:color w:val="000000"/>
              </w:rPr>
              <w:t>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20</w:t>
            </w: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noWrap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2.2</w:t>
            </w:r>
          </w:p>
        </w:tc>
        <w:tc>
          <w:tcPr>
            <w:tcW w:w="3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Замена ламп накаливания на энергосберегающие в жилом фонде</w:t>
            </w: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Жильцы квартир</w:t>
            </w: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2.3</w:t>
            </w:r>
          </w:p>
        </w:tc>
        <w:tc>
          <w:tcPr>
            <w:tcW w:w="3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/>
          <w:p>
            <w:r>
              <w:t>Утепление ограждающих конструкций зданий жилого фонда</w:t>
            </w:r>
          </w:p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00,0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rFonts w:hint="default"/>
                <w:color w:val="000000"/>
                <w:lang w:val="ru-RU"/>
              </w:rPr>
              <w:t>30</w:t>
            </w: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3</w:t>
            </w:r>
            <w:r>
              <w:rPr>
                <w:color w:val="000000"/>
              </w:rPr>
              <w:t>00,0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30</w:t>
            </w: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2.4</w:t>
            </w:r>
          </w:p>
        </w:tc>
        <w:tc>
          <w:tcPr>
            <w:tcW w:w="3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t>Замена ламп накаливания в местах общего пользования в жилфонде</w:t>
            </w: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rFonts w:hint="default"/>
                <w:color w:val="000000"/>
                <w:lang w:val="ru-RU"/>
              </w:rPr>
              <w:t>10</w:t>
            </w: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100,0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rFonts w:hint="default"/>
                <w:color w:val="000000"/>
                <w:lang w:val="ru-RU"/>
              </w:rPr>
              <w:t>10</w:t>
            </w: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3827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t>Осуществлять проверку работы приборов учета и состояние водопроводной и отопительной систем, своевременно принимать меры по устранению неполадок</w:t>
            </w: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9" w:type="dxa"/>
            <w:gridSpan w:val="2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Итого по подпрограмме II</w:t>
            </w: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750</w:t>
            </w:r>
            <w:r>
              <w:rPr>
                <w:color w:val="000000"/>
              </w:rPr>
              <w:t>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75</w:t>
            </w: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9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9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9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750</w:t>
            </w:r>
            <w:r>
              <w:rPr>
                <w:color w:val="000000"/>
              </w:rPr>
              <w:t>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75</w:t>
            </w: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248" w:type="dxa"/>
            <w:gridSpan w:val="8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Подпрограмма III: Организация учета сокращения потерь энергоресурсов, обучение и информационная поддержка в области энергосбережения.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3.                                   Проведение мероприятий по энергосбережению и повышению энергетической эффективности, проведение которых возможно с использованием привлеченных источников</w:t>
            </w:r>
          </w:p>
        </w:tc>
        <w:tc>
          <w:tcPr>
            <w:tcW w:w="1844" w:type="dxa"/>
            <w:vMerge w:val="restart"/>
            <w:noWrap/>
            <w:vAlign w:val="top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3.1.1.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Выявление бесхозяйных объектов недвижимого имущества, используемых для передачи электрической и тепловой энергии, воды, по организации постановки в установленном порядке таких объектов на учет в качестве бесхозяйных объектов недвижимого имущества и признанию права муниципальной собственности на такие бесхозяйные объекты недвижимого имущества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3.1.2.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Организация порядка управления (эксплуатации) бесхозяйными объектами недвижимого имущества, используемыми для передачи электрической и тепловой энергии, воды, с момента выявления таких объектов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Администрация сельского поселения 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3.1.3.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Регулирование цен (тарифов), направленные на стимулирование энергосбережения и повышения энергетической эффективности, в том числе переход к регулированию цен (тарифов) на основе долгосрочных параметров регулирования, введение социальной нормы потребления энергетических ресурсов и дифференцированных цен (тарифов) на энергетические ресурсы в пределах и свыше социальной нормы потребления, введение цен (тарифов), дифференцированных по времени суток, выходным и рабочим дням, если соответствующие полномочия в области регулирования цен (тарифов) переданы органам местного самоуправления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3.1.4.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Оснащение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  <w:p>
            <w:pPr>
              <w:jc w:val="both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3.1.5.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Расширение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3.1.6.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Снижение потребления энергетических ресурсов на собственные нужды при осуществлении регулируемых видов деятельности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3.1.7.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Сокращение потерь электрической энергии, тепловой энергии при их передаче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3.1.8.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Сокращение объемов электрической энергии, используемой при передаче (транспортировке) воды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3.1.9.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Разработка мероприятий по сокращению потерь воды при ее передаче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3.1.10.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Замещение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  <w:p>
            <w:pPr>
              <w:jc w:val="both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3.1.11.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Обучение в области энергосбережения и повышения энергетической эффективности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3.1.12.</w:t>
            </w:r>
          </w:p>
        </w:tc>
        <w:tc>
          <w:tcPr>
            <w:tcW w:w="3827" w:type="dxa"/>
            <w:vMerge w:val="restart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Информационная поддержка и пропаганда энергосбережения и повышения энергетической эффективности на территории Ханты-Мансийского района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Администрация сельского поселения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3827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819" w:type="dxa"/>
            <w:gridSpan w:val="2"/>
            <w:vMerge w:val="restart"/>
            <w:noWrap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Итого по подпрограмме III</w:t>
            </w:r>
          </w:p>
        </w:tc>
        <w:tc>
          <w:tcPr>
            <w:tcW w:w="1844" w:type="dxa"/>
            <w:vMerge w:val="restart"/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819" w:type="dxa"/>
            <w:gridSpan w:val="2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819" w:type="dxa"/>
            <w:gridSpan w:val="2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9" w:type="dxa"/>
            <w:gridSpan w:val="2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 по муниципальной программе</w:t>
            </w:r>
          </w:p>
        </w:tc>
        <w:tc>
          <w:tcPr>
            <w:tcW w:w="1844" w:type="dxa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>
              <w:rPr>
                <w:rFonts w:hint="default"/>
                <w:color w:val="000000"/>
                <w:lang w:val="ru-RU"/>
              </w:rPr>
              <w:t>50</w:t>
            </w:r>
            <w:r>
              <w:rPr>
                <w:color w:val="000000"/>
              </w:rPr>
              <w:t>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7</w:t>
            </w:r>
            <w:r>
              <w:rPr>
                <w:color w:val="000000"/>
              </w:rPr>
              <w:t>50,0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9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автономного округа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9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района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top"/>
          </w:tcPr>
          <w:p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19" w:type="dxa"/>
            <w:gridSpan w:val="2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844" w:type="dxa"/>
            <w:vMerge w:val="continue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3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>бюджет поселения</w:t>
            </w:r>
          </w:p>
        </w:tc>
        <w:tc>
          <w:tcPr>
            <w:tcW w:w="2039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750</w:t>
            </w:r>
            <w:r>
              <w:rPr>
                <w:color w:val="000000"/>
              </w:rPr>
              <w:t>,0</w:t>
            </w:r>
          </w:p>
        </w:tc>
        <w:tc>
          <w:tcPr>
            <w:tcW w:w="141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,0</w:t>
            </w:r>
          </w:p>
        </w:tc>
        <w:tc>
          <w:tcPr>
            <w:tcW w:w="1260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  <w:r>
              <w:rPr>
                <w:color w:val="000000"/>
              </w:rPr>
              <w:t>0,0</w:t>
            </w:r>
          </w:p>
        </w:tc>
        <w:tc>
          <w:tcPr>
            <w:tcW w:w="1245" w:type="dxa"/>
            <w:noWrap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default"/>
                <w:color w:val="000000"/>
                <w:lang w:val="ru-RU"/>
              </w:rPr>
              <w:t>7</w:t>
            </w:r>
            <w:r>
              <w:rPr>
                <w:color w:val="000000"/>
              </w:rPr>
              <w:t>50,0</w:t>
            </w:r>
          </w:p>
          <w:p>
            <w:pPr>
              <w:jc w:val="center"/>
              <w:rPr>
                <w:color w:val="000000"/>
              </w:rPr>
            </w:pPr>
          </w:p>
        </w:tc>
      </w:tr>
    </w:tbl>
    <w:p/>
    <w:p/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sectPr>
      <w:pgSz w:w="16838" w:h="11906" w:orient="landscape"/>
      <w:pgMar w:top="1418" w:right="1134" w:bottom="1418" w:left="1276" w:header="720" w:footer="709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onsolas">
    <w:panose1 w:val="020B0609020204030204"/>
    <w:charset w:val="CC"/>
    <w:family w:val="modern"/>
    <w:pitch w:val="default"/>
    <w:sig w:usb0="E10002FF" w:usb1="4000FCFF" w:usb2="00000009" w:usb3="00000000" w:csb0="6000019F" w:csb1="DFD70000"/>
  </w:font>
  <w:font w:name="Mangal">
    <w:panose1 w:val="02040503050203030202"/>
    <w:charset w:val="00"/>
    <w:family w:val="roman"/>
    <w:pitch w:val="default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Times New Roman"/>
    <w:panose1 w:val="00000000000000000000"/>
    <w:charset w:val="80"/>
    <w:family w:val="auto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8E232C"/>
    <w:multiLevelType w:val="multilevel"/>
    <w:tmpl w:val="188E232C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51282071"/>
    <w:multiLevelType w:val="multilevel"/>
    <w:tmpl w:val="51282071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360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963"/>
    <w:rsid w:val="0000722C"/>
    <w:rsid w:val="000250B2"/>
    <w:rsid w:val="000452AA"/>
    <w:rsid w:val="0004712F"/>
    <w:rsid w:val="00070141"/>
    <w:rsid w:val="000D558D"/>
    <w:rsid w:val="000F4B50"/>
    <w:rsid w:val="00105576"/>
    <w:rsid w:val="001122D6"/>
    <w:rsid w:val="001155A5"/>
    <w:rsid w:val="001207FC"/>
    <w:rsid w:val="00123792"/>
    <w:rsid w:val="00124E58"/>
    <w:rsid w:val="00135AB8"/>
    <w:rsid w:val="00153A62"/>
    <w:rsid w:val="00191CA2"/>
    <w:rsid w:val="001B4D43"/>
    <w:rsid w:val="001D659C"/>
    <w:rsid w:val="001E0CEB"/>
    <w:rsid w:val="001E1C1C"/>
    <w:rsid w:val="001F66D1"/>
    <w:rsid w:val="00210DF5"/>
    <w:rsid w:val="00211AA5"/>
    <w:rsid w:val="00220DCD"/>
    <w:rsid w:val="002439CD"/>
    <w:rsid w:val="00252E1C"/>
    <w:rsid w:val="002B0551"/>
    <w:rsid w:val="002E755B"/>
    <w:rsid w:val="002E7D13"/>
    <w:rsid w:val="003054AA"/>
    <w:rsid w:val="00356D21"/>
    <w:rsid w:val="00362F1A"/>
    <w:rsid w:val="003672A9"/>
    <w:rsid w:val="0036761F"/>
    <w:rsid w:val="003B08A1"/>
    <w:rsid w:val="003F17B9"/>
    <w:rsid w:val="004455B9"/>
    <w:rsid w:val="0045677D"/>
    <w:rsid w:val="00462CBB"/>
    <w:rsid w:val="00470D81"/>
    <w:rsid w:val="0048429E"/>
    <w:rsid w:val="0049799E"/>
    <w:rsid w:val="004A62B7"/>
    <w:rsid w:val="004D7370"/>
    <w:rsid w:val="004F3097"/>
    <w:rsid w:val="004F7266"/>
    <w:rsid w:val="00501843"/>
    <w:rsid w:val="005326BF"/>
    <w:rsid w:val="00552CB1"/>
    <w:rsid w:val="005560AA"/>
    <w:rsid w:val="00567469"/>
    <w:rsid w:val="005A476F"/>
    <w:rsid w:val="005A554C"/>
    <w:rsid w:val="005A577A"/>
    <w:rsid w:val="005A7F55"/>
    <w:rsid w:val="005C1323"/>
    <w:rsid w:val="005D2431"/>
    <w:rsid w:val="005D4308"/>
    <w:rsid w:val="005E5385"/>
    <w:rsid w:val="006015FE"/>
    <w:rsid w:val="00605DAE"/>
    <w:rsid w:val="00632C69"/>
    <w:rsid w:val="006407EC"/>
    <w:rsid w:val="00697D7C"/>
    <w:rsid w:val="006C503F"/>
    <w:rsid w:val="006F31B5"/>
    <w:rsid w:val="006F5F74"/>
    <w:rsid w:val="00734ADB"/>
    <w:rsid w:val="00763378"/>
    <w:rsid w:val="00773EB2"/>
    <w:rsid w:val="007777B1"/>
    <w:rsid w:val="00787290"/>
    <w:rsid w:val="007927BD"/>
    <w:rsid w:val="007B7531"/>
    <w:rsid w:val="007C08DA"/>
    <w:rsid w:val="007C62AC"/>
    <w:rsid w:val="007C6698"/>
    <w:rsid w:val="00823EE5"/>
    <w:rsid w:val="00833F26"/>
    <w:rsid w:val="00834101"/>
    <w:rsid w:val="0083442F"/>
    <w:rsid w:val="00844039"/>
    <w:rsid w:val="008532A3"/>
    <w:rsid w:val="008562CB"/>
    <w:rsid w:val="00881414"/>
    <w:rsid w:val="008831C6"/>
    <w:rsid w:val="00884638"/>
    <w:rsid w:val="00893BE8"/>
    <w:rsid w:val="008A3AF6"/>
    <w:rsid w:val="008A6AF4"/>
    <w:rsid w:val="008B13C5"/>
    <w:rsid w:val="008B6853"/>
    <w:rsid w:val="008B6B00"/>
    <w:rsid w:val="008C5D2F"/>
    <w:rsid w:val="008D1698"/>
    <w:rsid w:val="008D5FBA"/>
    <w:rsid w:val="008D6094"/>
    <w:rsid w:val="009179BE"/>
    <w:rsid w:val="009304BD"/>
    <w:rsid w:val="00944BE1"/>
    <w:rsid w:val="00962702"/>
    <w:rsid w:val="00964A43"/>
    <w:rsid w:val="00973CD0"/>
    <w:rsid w:val="009766B6"/>
    <w:rsid w:val="00982F77"/>
    <w:rsid w:val="00985092"/>
    <w:rsid w:val="009C1893"/>
    <w:rsid w:val="009C5A45"/>
    <w:rsid w:val="009C7ABA"/>
    <w:rsid w:val="009E0982"/>
    <w:rsid w:val="009F22A1"/>
    <w:rsid w:val="00A830C5"/>
    <w:rsid w:val="00A85FDA"/>
    <w:rsid w:val="00A92848"/>
    <w:rsid w:val="00AB318F"/>
    <w:rsid w:val="00AC798F"/>
    <w:rsid w:val="00AE4D4E"/>
    <w:rsid w:val="00AF30E8"/>
    <w:rsid w:val="00B273F1"/>
    <w:rsid w:val="00B30C31"/>
    <w:rsid w:val="00B37136"/>
    <w:rsid w:val="00B40C12"/>
    <w:rsid w:val="00B4609A"/>
    <w:rsid w:val="00B61AD4"/>
    <w:rsid w:val="00B82DA7"/>
    <w:rsid w:val="00BA0D76"/>
    <w:rsid w:val="00BA6D7A"/>
    <w:rsid w:val="00BC18EF"/>
    <w:rsid w:val="00BF12E2"/>
    <w:rsid w:val="00C06035"/>
    <w:rsid w:val="00C118E1"/>
    <w:rsid w:val="00C162EC"/>
    <w:rsid w:val="00C170F1"/>
    <w:rsid w:val="00C20EAA"/>
    <w:rsid w:val="00C83743"/>
    <w:rsid w:val="00CA2721"/>
    <w:rsid w:val="00CA7E61"/>
    <w:rsid w:val="00CB60CA"/>
    <w:rsid w:val="00CC2D6E"/>
    <w:rsid w:val="00CE48D7"/>
    <w:rsid w:val="00CF7632"/>
    <w:rsid w:val="00D04F32"/>
    <w:rsid w:val="00D14189"/>
    <w:rsid w:val="00D200BB"/>
    <w:rsid w:val="00D42EFD"/>
    <w:rsid w:val="00D65B3B"/>
    <w:rsid w:val="00D75963"/>
    <w:rsid w:val="00D955CA"/>
    <w:rsid w:val="00D95DC3"/>
    <w:rsid w:val="00DE3BDC"/>
    <w:rsid w:val="00E27FAC"/>
    <w:rsid w:val="00E437C7"/>
    <w:rsid w:val="00E45E0F"/>
    <w:rsid w:val="00E55216"/>
    <w:rsid w:val="00E81E4B"/>
    <w:rsid w:val="00EE10E3"/>
    <w:rsid w:val="00EE33C9"/>
    <w:rsid w:val="00F054ED"/>
    <w:rsid w:val="00F05FAC"/>
    <w:rsid w:val="00F2439D"/>
    <w:rsid w:val="00F64AA6"/>
    <w:rsid w:val="00F762A5"/>
    <w:rsid w:val="00F8052B"/>
    <w:rsid w:val="00FA7588"/>
    <w:rsid w:val="00FB1CC7"/>
    <w:rsid w:val="00FC645B"/>
    <w:rsid w:val="00FE611B"/>
    <w:rsid w:val="00FF1946"/>
    <w:rsid w:val="22CC6F13"/>
    <w:rsid w:val="2D4A1421"/>
    <w:rsid w:val="378B54D1"/>
    <w:rsid w:val="65036A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99" w:semiHidden="0" w:name="heading 7"/>
    <w:lsdException w:qFormat="1" w:uiPriority="99" w:semiHidden="0" w:name="heading 8"/>
    <w:lsdException w:qFormat="1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semiHidden="0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nhideWhenUsed="0" w:uiPriority="99" w:semiHidden="0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next w:val="1"/>
    <w:link w:val="26"/>
    <w:qFormat/>
    <w:uiPriority w:val="0"/>
    <w:pPr>
      <w:keepNext/>
      <w:tabs>
        <w:tab w:val="left" w:pos="0"/>
        <w:tab w:val="left" w:pos="1560"/>
      </w:tabs>
      <w:suppressAutoHyphens/>
      <w:spacing w:before="240" w:after="120"/>
      <w:ind w:left="1559" w:hanging="1559"/>
      <w:outlineLvl w:val="0"/>
    </w:pPr>
    <w:rPr>
      <w:rFonts w:ascii="Times New Roman" w:hAnsi="Times New Roman" w:eastAsia="SimSun" w:cs="Times New Roman"/>
      <w:b/>
      <w:bCs/>
      <w:caps/>
      <w:kern w:val="2"/>
      <w:sz w:val="28"/>
      <w:szCs w:val="28"/>
      <w:lang w:val="ru-RU" w:eastAsia="ar-SA" w:bidi="ar-SA"/>
    </w:rPr>
  </w:style>
  <w:style w:type="paragraph" w:styleId="3">
    <w:name w:val="heading 2"/>
    <w:basedOn w:val="1"/>
    <w:next w:val="1"/>
    <w:link w:val="27"/>
    <w:unhideWhenUsed/>
    <w:qFormat/>
    <w:uiPriority w:val="0"/>
    <w:pPr>
      <w:tabs>
        <w:tab w:val="left" w:pos="0"/>
        <w:tab w:val="left" w:pos="567"/>
      </w:tabs>
      <w:ind w:left="360" w:hanging="360"/>
      <w:outlineLvl w:val="1"/>
    </w:pPr>
    <w:rPr>
      <w:rFonts w:eastAsia="SimSun"/>
      <w:b/>
    </w:rPr>
  </w:style>
  <w:style w:type="paragraph" w:styleId="4">
    <w:name w:val="heading 3"/>
    <w:next w:val="1"/>
    <w:link w:val="28"/>
    <w:unhideWhenUsed/>
    <w:qFormat/>
    <w:uiPriority w:val="0"/>
    <w:pPr>
      <w:keepNext/>
      <w:tabs>
        <w:tab w:val="left" w:pos="851"/>
      </w:tabs>
      <w:suppressAutoHyphens/>
      <w:spacing w:before="240" w:after="120"/>
      <w:ind w:left="851" w:hanging="851"/>
      <w:outlineLvl w:val="2"/>
    </w:pPr>
    <w:rPr>
      <w:rFonts w:ascii="Arial" w:hAnsi="Arial" w:eastAsia="SimSun" w:cs="Arial"/>
      <w:b/>
      <w:bCs/>
      <w:sz w:val="24"/>
      <w:szCs w:val="26"/>
      <w:lang w:val="ru-RU" w:eastAsia="ar-SA" w:bidi="ar-SA"/>
    </w:rPr>
  </w:style>
  <w:style w:type="paragraph" w:styleId="5">
    <w:name w:val="heading 4"/>
    <w:next w:val="1"/>
    <w:link w:val="29"/>
    <w:unhideWhenUsed/>
    <w:qFormat/>
    <w:uiPriority w:val="0"/>
    <w:pPr>
      <w:keepNext/>
      <w:tabs>
        <w:tab w:val="left" w:pos="851"/>
      </w:tabs>
      <w:suppressAutoHyphens/>
      <w:spacing w:before="240" w:after="120"/>
      <w:ind w:left="851" w:hanging="851"/>
      <w:outlineLvl w:val="3"/>
    </w:pPr>
    <w:rPr>
      <w:rFonts w:ascii="Arial" w:hAnsi="Arial" w:eastAsia="SimSun" w:cs="Arial"/>
      <w:b/>
      <w:bCs/>
      <w:iCs/>
      <w:szCs w:val="26"/>
      <w:lang w:val="ru-RU" w:eastAsia="ar-SA" w:bidi="ar-SA"/>
    </w:rPr>
  </w:style>
  <w:style w:type="paragraph" w:styleId="6">
    <w:name w:val="heading 5"/>
    <w:basedOn w:val="1"/>
    <w:next w:val="1"/>
    <w:link w:val="30"/>
    <w:unhideWhenUsed/>
    <w:qFormat/>
    <w:uiPriority w:val="0"/>
    <w:pPr>
      <w:keepNext/>
      <w:widowControl w:val="0"/>
      <w:snapToGrid w:val="0"/>
      <w:ind w:right="283" w:firstLine="567"/>
      <w:jc w:val="center"/>
      <w:outlineLvl w:val="4"/>
    </w:pPr>
    <w:rPr>
      <w:rFonts w:ascii="Arial" w:hAnsi="Arial" w:eastAsia="SimSun"/>
      <w:sz w:val="20"/>
      <w:szCs w:val="20"/>
    </w:rPr>
  </w:style>
  <w:style w:type="paragraph" w:styleId="7">
    <w:name w:val="heading 6"/>
    <w:basedOn w:val="1"/>
    <w:next w:val="1"/>
    <w:link w:val="31"/>
    <w:unhideWhenUsed/>
    <w:qFormat/>
    <w:uiPriority w:val="0"/>
    <w:pPr>
      <w:keepNext/>
      <w:widowControl w:val="0"/>
      <w:snapToGrid w:val="0"/>
      <w:ind w:right="283" w:firstLine="567"/>
      <w:jc w:val="right"/>
      <w:outlineLvl w:val="5"/>
    </w:pPr>
    <w:rPr>
      <w:rFonts w:ascii="Arial" w:hAnsi="Arial" w:eastAsia="SimSun"/>
      <w:sz w:val="20"/>
      <w:szCs w:val="20"/>
    </w:rPr>
  </w:style>
  <w:style w:type="paragraph" w:styleId="8">
    <w:name w:val="heading 7"/>
    <w:basedOn w:val="1"/>
    <w:next w:val="1"/>
    <w:link w:val="32"/>
    <w:unhideWhenUsed/>
    <w:qFormat/>
    <w:uiPriority w:val="99"/>
    <w:pPr>
      <w:keepNext/>
      <w:widowControl w:val="0"/>
      <w:snapToGrid w:val="0"/>
      <w:ind w:firstLine="567"/>
      <w:jc w:val="both"/>
      <w:outlineLvl w:val="6"/>
    </w:pPr>
    <w:rPr>
      <w:rFonts w:ascii="Arial" w:hAnsi="Arial" w:eastAsia="SimSun"/>
      <w:sz w:val="20"/>
      <w:szCs w:val="20"/>
    </w:rPr>
  </w:style>
  <w:style w:type="paragraph" w:styleId="9">
    <w:name w:val="heading 8"/>
    <w:basedOn w:val="1"/>
    <w:next w:val="1"/>
    <w:link w:val="33"/>
    <w:unhideWhenUsed/>
    <w:qFormat/>
    <w:uiPriority w:val="99"/>
    <w:pPr>
      <w:keepNext/>
      <w:widowControl w:val="0"/>
      <w:tabs>
        <w:tab w:val="left" w:pos="3828"/>
      </w:tabs>
      <w:snapToGrid w:val="0"/>
      <w:ind w:firstLine="567"/>
      <w:jc w:val="center"/>
      <w:outlineLvl w:val="7"/>
    </w:pPr>
    <w:rPr>
      <w:rFonts w:ascii="Arial" w:hAnsi="Arial" w:eastAsia="SimSun"/>
      <w:b/>
      <w:sz w:val="20"/>
      <w:szCs w:val="20"/>
    </w:rPr>
  </w:style>
  <w:style w:type="paragraph" w:styleId="10">
    <w:name w:val="heading 9"/>
    <w:basedOn w:val="1"/>
    <w:next w:val="1"/>
    <w:link w:val="34"/>
    <w:unhideWhenUsed/>
    <w:qFormat/>
    <w:uiPriority w:val="99"/>
    <w:pPr>
      <w:keepNext/>
      <w:widowControl w:val="0"/>
      <w:snapToGrid w:val="0"/>
      <w:ind w:firstLine="851"/>
      <w:jc w:val="right"/>
      <w:outlineLvl w:val="8"/>
    </w:pPr>
    <w:rPr>
      <w:rFonts w:ascii="Arial" w:hAnsi="Arial" w:eastAsia="SimSun"/>
      <w:sz w:val="20"/>
      <w:szCs w:val="20"/>
    </w:rPr>
  </w:style>
  <w:style w:type="character" w:default="1" w:styleId="11">
    <w:name w:val="Default Paragraph Font"/>
    <w:uiPriority w:val="0"/>
  </w:style>
  <w:style w:type="table" w:default="1" w:styleId="12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  <w:lang w:val="en-US"/>
    </w:rPr>
  </w:style>
  <w:style w:type="paragraph" w:styleId="14">
    <w:name w:val="Balloon Text"/>
    <w:basedOn w:val="1"/>
    <w:link w:val="35"/>
    <w:uiPriority w:val="99"/>
    <w:rPr>
      <w:rFonts w:ascii="Tahoma" w:hAnsi="Tahoma"/>
      <w:sz w:val="16"/>
      <w:szCs w:val="16"/>
    </w:rPr>
  </w:style>
  <w:style w:type="paragraph" w:styleId="15">
    <w:name w:val="annotation text"/>
    <w:basedOn w:val="1"/>
    <w:link w:val="36"/>
    <w:unhideWhenUsed/>
    <w:uiPriority w:val="99"/>
    <w:pPr>
      <w:ind w:firstLine="567"/>
      <w:jc w:val="both"/>
    </w:pPr>
    <w:rPr>
      <w:rFonts w:ascii="Arial" w:hAnsi="Arial" w:eastAsia="SimSun"/>
      <w:sz w:val="20"/>
      <w:szCs w:val="20"/>
    </w:rPr>
  </w:style>
  <w:style w:type="paragraph" w:styleId="16">
    <w:name w:val="annotation subject"/>
    <w:basedOn w:val="15"/>
    <w:next w:val="15"/>
    <w:link w:val="37"/>
    <w:unhideWhenUsed/>
    <w:uiPriority w:val="0"/>
    <w:rPr>
      <w:b/>
      <w:bCs/>
    </w:rPr>
  </w:style>
  <w:style w:type="paragraph" w:styleId="17">
    <w:name w:val="footnote text"/>
    <w:basedOn w:val="1"/>
    <w:link w:val="38"/>
    <w:unhideWhenUsed/>
    <w:uiPriority w:val="99"/>
    <w:pPr>
      <w:ind w:firstLine="567"/>
      <w:jc w:val="both"/>
    </w:pPr>
    <w:rPr>
      <w:rFonts w:ascii="Calibri" w:hAnsi="Calibri" w:eastAsia="Calibri"/>
      <w:sz w:val="20"/>
      <w:szCs w:val="20"/>
    </w:rPr>
  </w:style>
  <w:style w:type="paragraph" w:styleId="18">
    <w:name w:val="header"/>
    <w:basedOn w:val="1"/>
    <w:link w:val="39"/>
    <w:unhideWhenUsed/>
    <w:uiPriority w:val="99"/>
    <w:pPr>
      <w:widowControl w:val="0"/>
      <w:tabs>
        <w:tab w:val="center" w:pos="4677"/>
        <w:tab w:val="right" w:pos="9355"/>
      </w:tabs>
      <w:snapToGrid w:val="0"/>
      <w:ind w:firstLine="567"/>
      <w:jc w:val="both"/>
    </w:pPr>
    <w:rPr>
      <w:rFonts w:ascii="Arial" w:hAnsi="Arial" w:eastAsia="SimSun"/>
      <w:sz w:val="20"/>
      <w:szCs w:val="20"/>
    </w:rPr>
  </w:style>
  <w:style w:type="paragraph" w:styleId="19">
    <w:name w:val="Body Text"/>
    <w:basedOn w:val="1"/>
    <w:link w:val="40"/>
    <w:uiPriority w:val="99"/>
    <w:pPr>
      <w:spacing w:before="0" w:after="120"/>
    </w:pPr>
  </w:style>
  <w:style w:type="paragraph" w:styleId="20">
    <w:name w:val="Body Text Indent"/>
    <w:basedOn w:val="1"/>
    <w:link w:val="41"/>
    <w:unhideWhenUsed/>
    <w:uiPriority w:val="99"/>
    <w:pPr>
      <w:widowControl w:val="0"/>
      <w:tabs>
        <w:tab w:val="left" w:pos="5103"/>
      </w:tabs>
      <w:snapToGrid w:val="0"/>
      <w:ind w:firstLine="567"/>
      <w:jc w:val="both"/>
    </w:pPr>
    <w:rPr>
      <w:rFonts w:ascii="Arial" w:hAnsi="Arial" w:eastAsia="SimSun"/>
      <w:sz w:val="20"/>
      <w:szCs w:val="20"/>
    </w:rPr>
  </w:style>
  <w:style w:type="paragraph" w:styleId="21">
    <w:name w:val="Title"/>
    <w:basedOn w:val="1"/>
    <w:next w:val="22"/>
    <w:link w:val="42"/>
    <w:qFormat/>
    <w:uiPriority w:val="99"/>
    <w:pPr>
      <w:widowControl w:val="0"/>
      <w:snapToGrid w:val="0"/>
      <w:ind w:firstLine="567"/>
      <w:jc w:val="center"/>
    </w:pPr>
    <w:rPr>
      <w:rFonts w:ascii="Arial" w:hAnsi="Arial" w:eastAsia="SimSun"/>
      <w:b/>
      <w:sz w:val="28"/>
      <w:szCs w:val="20"/>
    </w:rPr>
  </w:style>
  <w:style w:type="paragraph" w:styleId="22">
    <w:name w:val="Subtitle"/>
    <w:basedOn w:val="1"/>
    <w:next w:val="1"/>
    <w:link w:val="43"/>
    <w:qFormat/>
    <w:uiPriority w:val="0"/>
    <w:pPr>
      <w:numPr>
        <w:ilvl w:val="1"/>
        <w:numId w:val="0"/>
      </w:numPr>
      <w:ind w:firstLine="567"/>
      <w:jc w:val="both"/>
    </w:pPr>
    <w:rPr>
      <w:rFonts w:ascii="Cambria" w:hAnsi="Cambria"/>
      <w:i/>
      <w:iCs/>
      <w:color w:val="4F81BD"/>
      <w:spacing w:val="15"/>
    </w:rPr>
  </w:style>
  <w:style w:type="paragraph" w:styleId="23">
    <w:name w:val="footer"/>
    <w:basedOn w:val="1"/>
    <w:link w:val="44"/>
    <w:unhideWhenUsed/>
    <w:uiPriority w:val="99"/>
    <w:pPr>
      <w:tabs>
        <w:tab w:val="center" w:pos="4677"/>
        <w:tab w:val="right" w:pos="9355"/>
      </w:tabs>
      <w:ind w:firstLine="567"/>
      <w:jc w:val="both"/>
    </w:pPr>
    <w:rPr>
      <w:rFonts w:ascii="Arial" w:hAnsi="Arial" w:eastAsia="SimSun"/>
      <w:sz w:val="20"/>
      <w:szCs w:val="20"/>
    </w:rPr>
  </w:style>
  <w:style w:type="paragraph" w:styleId="24">
    <w:name w:val="List"/>
    <w:basedOn w:val="19"/>
    <w:uiPriority w:val="99"/>
    <w:rPr>
      <w:rFonts w:ascii="Arial" w:hAnsi="Arial" w:cs="Tahoma"/>
    </w:rPr>
  </w:style>
  <w:style w:type="table" w:styleId="25">
    <w:name w:val="Table Grid"/>
    <w:basedOn w:val="12"/>
    <w:uiPriority w:val="59"/>
    <w:rPr>
      <w:rFonts w:ascii="Calibri" w:hAnsi="Calibri" w:eastAsia="Calibri" w:cs="Times New Roman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6">
    <w:name w:val="Заголовок 1 Знак"/>
    <w:link w:val="2"/>
    <w:uiPriority w:val="0"/>
    <w:rPr>
      <w:rFonts w:eastAsia="SimSun"/>
      <w:b/>
      <w:bCs/>
      <w:caps/>
      <w:kern w:val="2"/>
      <w:sz w:val="28"/>
      <w:szCs w:val="28"/>
      <w:lang w:val="ru-RU" w:eastAsia="ar-SA" w:bidi="ar-SA"/>
    </w:rPr>
  </w:style>
  <w:style w:type="character" w:customStyle="1" w:styleId="27">
    <w:name w:val="Заголовок 2 Знак"/>
    <w:link w:val="3"/>
    <w:semiHidden/>
    <w:uiPriority w:val="0"/>
    <w:rPr>
      <w:rFonts w:eastAsia="SimSun"/>
      <w:b/>
      <w:sz w:val="24"/>
      <w:szCs w:val="24"/>
      <w:lang w:eastAsia="ar-SA"/>
    </w:rPr>
  </w:style>
  <w:style w:type="character" w:customStyle="1" w:styleId="28">
    <w:name w:val="Заголовок 3 Знак"/>
    <w:link w:val="4"/>
    <w:semiHidden/>
    <w:uiPriority w:val="0"/>
    <w:rPr>
      <w:rFonts w:ascii="Arial" w:hAnsi="Arial" w:eastAsia="SimSun" w:cs="Arial"/>
      <w:b/>
      <w:bCs/>
      <w:sz w:val="24"/>
      <w:szCs w:val="26"/>
      <w:lang w:val="ru-RU" w:eastAsia="ar-SA" w:bidi="ar-SA"/>
    </w:rPr>
  </w:style>
  <w:style w:type="character" w:customStyle="1" w:styleId="29">
    <w:name w:val="Заголовок 4 Знак"/>
    <w:link w:val="5"/>
    <w:semiHidden/>
    <w:uiPriority w:val="0"/>
    <w:rPr>
      <w:rFonts w:ascii="Arial" w:hAnsi="Arial" w:eastAsia="SimSun" w:cs="Arial"/>
      <w:b/>
      <w:bCs/>
      <w:iCs/>
      <w:szCs w:val="26"/>
      <w:lang w:val="ru-RU" w:eastAsia="ar-SA" w:bidi="ar-SA"/>
    </w:rPr>
  </w:style>
  <w:style w:type="character" w:customStyle="1" w:styleId="30">
    <w:name w:val="Заголовок 5 Знак"/>
    <w:link w:val="6"/>
    <w:semiHidden/>
    <w:uiPriority w:val="0"/>
    <w:rPr>
      <w:rFonts w:ascii="Arial" w:hAnsi="Arial" w:eastAsia="SimSun" w:cs="Arial"/>
      <w:lang w:eastAsia="ar-SA"/>
    </w:rPr>
  </w:style>
  <w:style w:type="character" w:customStyle="1" w:styleId="31">
    <w:name w:val="Заголовок 6 Знак"/>
    <w:link w:val="7"/>
    <w:semiHidden/>
    <w:uiPriority w:val="0"/>
    <w:rPr>
      <w:rFonts w:ascii="Arial" w:hAnsi="Arial" w:eastAsia="SimSun" w:cs="Arial"/>
      <w:lang w:eastAsia="ar-SA"/>
    </w:rPr>
  </w:style>
  <w:style w:type="character" w:customStyle="1" w:styleId="32">
    <w:name w:val="Заголовок 7 Знак"/>
    <w:link w:val="8"/>
    <w:semiHidden/>
    <w:uiPriority w:val="99"/>
    <w:rPr>
      <w:rFonts w:ascii="Arial" w:hAnsi="Arial" w:eastAsia="SimSun" w:cs="Arial"/>
      <w:lang w:eastAsia="ar-SA"/>
    </w:rPr>
  </w:style>
  <w:style w:type="character" w:customStyle="1" w:styleId="33">
    <w:name w:val="Заголовок 8 Знак"/>
    <w:link w:val="9"/>
    <w:semiHidden/>
    <w:uiPriority w:val="99"/>
    <w:rPr>
      <w:rFonts w:ascii="Arial" w:hAnsi="Arial" w:eastAsia="SimSun" w:cs="Arial"/>
      <w:b/>
      <w:lang w:eastAsia="ar-SA"/>
    </w:rPr>
  </w:style>
  <w:style w:type="character" w:customStyle="1" w:styleId="34">
    <w:name w:val="Заголовок 9 Знак"/>
    <w:link w:val="10"/>
    <w:semiHidden/>
    <w:uiPriority w:val="99"/>
    <w:rPr>
      <w:rFonts w:ascii="Arial" w:hAnsi="Arial" w:eastAsia="SimSun" w:cs="Arial"/>
      <w:lang w:eastAsia="ar-SA"/>
    </w:rPr>
  </w:style>
  <w:style w:type="character" w:customStyle="1" w:styleId="35">
    <w:name w:val="Текст выноски Знак"/>
    <w:link w:val="14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36">
    <w:name w:val="Текст примечания Знак"/>
    <w:link w:val="15"/>
    <w:semiHidden/>
    <w:uiPriority w:val="99"/>
    <w:rPr>
      <w:rFonts w:ascii="Arial" w:hAnsi="Arial" w:eastAsia="SimSun" w:cs="Arial"/>
      <w:lang w:eastAsia="ar-SA"/>
    </w:rPr>
  </w:style>
  <w:style w:type="character" w:customStyle="1" w:styleId="37">
    <w:name w:val="Тема примечания Знак"/>
    <w:link w:val="16"/>
    <w:semiHidden/>
    <w:uiPriority w:val="0"/>
    <w:rPr>
      <w:rFonts w:ascii="Arial" w:hAnsi="Arial" w:eastAsia="SimSun" w:cs="Arial"/>
      <w:b/>
      <w:bCs/>
      <w:lang w:eastAsia="ar-SA"/>
    </w:rPr>
  </w:style>
  <w:style w:type="character" w:customStyle="1" w:styleId="38">
    <w:name w:val="Текст сноски Знак"/>
    <w:link w:val="17"/>
    <w:semiHidden/>
    <w:uiPriority w:val="99"/>
    <w:rPr>
      <w:rFonts w:ascii="Calibri" w:hAnsi="Calibri" w:eastAsia="Calibri"/>
      <w:lang w:eastAsia="ar-SA"/>
    </w:rPr>
  </w:style>
  <w:style w:type="character" w:customStyle="1" w:styleId="39">
    <w:name w:val="Верхний колонтитул Знак"/>
    <w:link w:val="18"/>
    <w:uiPriority w:val="99"/>
    <w:rPr>
      <w:rFonts w:ascii="Arial" w:hAnsi="Arial" w:eastAsia="SimSun" w:cs="Arial"/>
      <w:lang w:eastAsia="ar-SA"/>
    </w:rPr>
  </w:style>
  <w:style w:type="character" w:customStyle="1" w:styleId="40">
    <w:name w:val="Основной текст Знак"/>
    <w:link w:val="19"/>
    <w:uiPriority w:val="99"/>
    <w:rPr>
      <w:sz w:val="24"/>
      <w:szCs w:val="24"/>
      <w:lang w:eastAsia="ar-SA"/>
    </w:rPr>
  </w:style>
  <w:style w:type="character" w:customStyle="1" w:styleId="41">
    <w:name w:val="Основной текст с отступом Знак"/>
    <w:link w:val="20"/>
    <w:semiHidden/>
    <w:uiPriority w:val="99"/>
    <w:rPr>
      <w:rFonts w:ascii="Arial" w:hAnsi="Arial" w:eastAsia="SimSun" w:cs="Arial"/>
      <w:lang w:eastAsia="ar-SA"/>
    </w:rPr>
  </w:style>
  <w:style w:type="character" w:customStyle="1" w:styleId="42">
    <w:name w:val="Название Знак"/>
    <w:link w:val="21"/>
    <w:uiPriority w:val="99"/>
    <w:rPr>
      <w:rFonts w:ascii="Arial" w:hAnsi="Arial" w:eastAsia="SimSun" w:cs="Arial"/>
      <w:b/>
      <w:sz w:val="28"/>
      <w:lang w:eastAsia="ar-SA"/>
    </w:rPr>
  </w:style>
  <w:style w:type="character" w:customStyle="1" w:styleId="43">
    <w:name w:val="Подзаголовок Знак"/>
    <w:link w:val="22"/>
    <w:uiPriority w:val="0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44">
    <w:name w:val="Нижний колонтитул Знак"/>
    <w:link w:val="23"/>
    <w:semiHidden/>
    <w:uiPriority w:val="99"/>
    <w:rPr>
      <w:rFonts w:ascii="Arial" w:hAnsi="Arial" w:eastAsia="SimSun" w:cs="Arial"/>
      <w:lang w:eastAsia="ar-SA"/>
    </w:rPr>
  </w:style>
  <w:style w:type="character" w:customStyle="1" w:styleId="45">
    <w:name w:val="Absatz-Standardschriftart"/>
    <w:uiPriority w:val="0"/>
  </w:style>
  <w:style w:type="character" w:customStyle="1" w:styleId="46">
    <w:name w:val="WW-Absatz-Standardschriftart"/>
    <w:uiPriority w:val="0"/>
  </w:style>
  <w:style w:type="character" w:customStyle="1" w:styleId="47">
    <w:name w:val="WW-Absatz-Standardschriftart1"/>
    <w:uiPriority w:val="0"/>
  </w:style>
  <w:style w:type="character" w:customStyle="1" w:styleId="48">
    <w:name w:val="WW-Absatz-Standardschriftart11"/>
    <w:uiPriority w:val="0"/>
  </w:style>
  <w:style w:type="character" w:customStyle="1" w:styleId="49">
    <w:name w:val="WW-Absatz-Standardschriftart111"/>
    <w:uiPriority w:val="0"/>
  </w:style>
  <w:style w:type="character" w:customStyle="1" w:styleId="50">
    <w:name w:val="Основной шрифт абзаца1"/>
    <w:uiPriority w:val="0"/>
  </w:style>
  <w:style w:type="paragraph" w:customStyle="1" w:styleId="51">
    <w:name w:val="Заголовок"/>
    <w:basedOn w:val="1"/>
    <w:next w:val="19"/>
    <w:uiPriority w:val="99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customStyle="1" w:styleId="52">
    <w:name w:val="Название1"/>
    <w:basedOn w:val="1"/>
    <w:uiPriority w:val="99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53">
    <w:name w:val="Указатель1"/>
    <w:basedOn w:val="1"/>
    <w:uiPriority w:val="99"/>
    <w:pPr>
      <w:suppressLineNumbers/>
    </w:pPr>
    <w:rPr>
      <w:rFonts w:ascii="Arial" w:hAnsi="Arial" w:cs="Tahoma"/>
    </w:rPr>
  </w:style>
  <w:style w:type="paragraph" w:customStyle="1" w:styleId="54">
    <w:name w:val="Название документа"/>
    <w:uiPriority w:val="99"/>
    <w:pPr>
      <w:suppressAutoHyphens/>
    </w:pPr>
    <w:rPr>
      <w:rFonts w:ascii="Arial" w:hAnsi="Arial" w:eastAsia="SimSun" w:cs="Arial"/>
      <w:b/>
      <w:caps/>
      <w:sz w:val="36"/>
      <w:lang w:val="ru-RU" w:eastAsia="ar-SA" w:bidi="ar-SA"/>
    </w:rPr>
  </w:style>
  <w:style w:type="paragraph" w:styleId="55">
    <w:name w:val="No Spacing"/>
    <w:link w:val="56"/>
    <w:qFormat/>
    <w:uiPriority w:val="1"/>
    <w:pPr>
      <w:suppressAutoHyphens/>
      <w:ind w:firstLine="567"/>
      <w:jc w:val="both"/>
    </w:pPr>
    <w:rPr>
      <w:rFonts w:ascii="Arial" w:hAnsi="Arial" w:eastAsia="SimSun" w:cs="Arial"/>
      <w:lang w:val="ru-RU" w:eastAsia="ar-SA" w:bidi="ar-SA"/>
    </w:rPr>
  </w:style>
  <w:style w:type="character" w:customStyle="1" w:styleId="56">
    <w:name w:val="Без интервала Знак"/>
    <w:link w:val="55"/>
    <w:locked/>
    <w:uiPriority w:val="1"/>
    <w:rPr>
      <w:rFonts w:ascii="Arial" w:hAnsi="Arial" w:eastAsia="SimSun" w:cs="Arial"/>
      <w:lang w:eastAsia="ar-SA" w:bidi="ar-SA"/>
    </w:rPr>
  </w:style>
  <w:style w:type="paragraph" w:styleId="57">
    <w:name w:val="List Paragraph"/>
    <w:basedOn w:val="1"/>
    <w:qFormat/>
    <w:uiPriority w:val="99"/>
    <w:pPr>
      <w:spacing w:line="276" w:lineRule="auto"/>
      <w:ind w:left="720" w:firstLine="567"/>
      <w:jc w:val="both"/>
    </w:pPr>
    <w:rPr>
      <w:rFonts w:eastAsia="Calibri"/>
      <w:szCs w:val="22"/>
    </w:rPr>
  </w:style>
  <w:style w:type="paragraph" w:customStyle="1" w:styleId="58">
    <w:name w:val="Текст примечания1"/>
    <w:basedOn w:val="1"/>
    <w:uiPriority w:val="99"/>
    <w:pPr>
      <w:spacing w:after="120"/>
      <w:ind w:firstLine="567"/>
      <w:jc w:val="both"/>
    </w:pPr>
    <w:rPr>
      <w:rFonts w:ascii="Arial" w:hAnsi="Arial" w:eastAsia="SimSun" w:cs="Arial"/>
      <w:bCs/>
      <w:iCs/>
      <w:sz w:val="20"/>
      <w:szCs w:val="20"/>
    </w:rPr>
  </w:style>
  <w:style w:type="paragraph" w:customStyle="1" w:styleId="59">
    <w:name w:val="Название объекта1"/>
    <w:basedOn w:val="1"/>
    <w:next w:val="1"/>
    <w:uiPriority w:val="99"/>
    <w:pPr>
      <w:ind w:firstLine="567"/>
      <w:jc w:val="right"/>
    </w:pPr>
    <w:rPr>
      <w:rFonts w:ascii="Tahoma" w:hAnsi="Tahoma" w:eastAsia="SimSun" w:cs="Tahoma"/>
      <w:bCs/>
      <w:sz w:val="20"/>
      <w:szCs w:val="20"/>
    </w:rPr>
  </w:style>
  <w:style w:type="paragraph" w:customStyle="1" w:styleId="60">
    <w:name w:val="Нумерованный список1"/>
    <w:basedOn w:val="1"/>
    <w:uiPriority w:val="99"/>
    <w:pPr>
      <w:tabs>
        <w:tab w:val="left" w:pos="360"/>
      </w:tabs>
      <w:ind w:left="360" w:hanging="360"/>
      <w:jc w:val="both"/>
    </w:pPr>
    <w:rPr>
      <w:rFonts w:ascii="Arial" w:hAnsi="Arial" w:eastAsia="SimSun" w:cs="Arial"/>
      <w:sz w:val="20"/>
      <w:szCs w:val="20"/>
    </w:rPr>
  </w:style>
  <w:style w:type="paragraph" w:customStyle="1" w:styleId="61">
    <w:name w:val="Основной текст 31"/>
    <w:basedOn w:val="1"/>
    <w:uiPriority w:val="99"/>
    <w:pPr>
      <w:widowControl w:val="0"/>
      <w:tabs>
        <w:tab w:val="left" w:pos="426"/>
      </w:tabs>
      <w:snapToGrid w:val="0"/>
      <w:ind w:firstLine="567"/>
      <w:jc w:val="both"/>
    </w:pPr>
    <w:rPr>
      <w:rFonts w:ascii="Arial" w:hAnsi="Arial" w:eastAsia="SimSun" w:cs="Arial"/>
      <w:b/>
      <w:caps/>
      <w:sz w:val="20"/>
      <w:szCs w:val="20"/>
    </w:rPr>
  </w:style>
  <w:style w:type="paragraph" w:customStyle="1" w:styleId="62">
    <w:name w:val="Основной текст с отступом 21"/>
    <w:basedOn w:val="1"/>
    <w:uiPriority w:val="99"/>
    <w:pPr>
      <w:widowControl w:val="0"/>
      <w:snapToGrid w:val="0"/>
      <w:ind w:firstLine="284"/>
      <w:jc w:val="both"/>
    </w:pPr>
    <w:rPr>
      <w:rFonts w:ascii="Arial" w:hAnsi="Arial" w:eastAsia="SimSun" w:cs="Arial"/>
      <w:sz w:val="20"/>
      <w:szCs w:val="20"/>
    </w:rPr>
  </w:style>
  <w:style w:type="paragraph" w:customStyle="1" w:styleId="63">
    <w:name w:val="Основной текст с отступом 31"/>
    <w:basedOn w:val="1"/>
    <w:uiPriority w:val="99"/>
    <w:pPr>
      <w:widowControl w:val="0"/>
      <w:snapToGrid w:val="0"/>
      <w:ind w:firstLine="426"/>
      <w:jc w:val="both"/>
    </w:pPr>
    <w:rPr>
      <w:rFonts w:ascii="Arial" w:hAnsi="Arial" w:eastAsia="SimSun" w:cs="Arial"/>
      <w:sz w:val="20"/>
      <w:szCs w:val="20"/>
    </w:rPr>
  </w:style>
  <w:style w:type="paragraph" w:customStyle="1" w:styleId="64">
    <w:name w:val="Схема документа1"/>
    <w:basedOn w:val="1"/>
    <w:uiPriority w:val="99"/>
    <w:pPr>
      <w:shd w:val="clear" w:color="auto" w:fill="000080"/>
      <w:ind w:firstLine="567"/>
      <w:jc w:val="both"/>
    </w:pPr>
    <w:rPr>
      <w:rFonts w:ascii="Tahoma" w:hAnsi="Tahoma" w:eastAsia="SimSun" w:cs="Tahoma"/>
      <w:sz w:val="20"/>
      <w:szCs w:val="20"/>
    </w:rPr>
  </w:style>
  <w:style w:type="paragraph" w:customStyle="1" w:styleId="65">
    <w:name w:val="Текст1"/>
    <w:basedOn w:val="1"/>
    <w:uiPriority w:val="99"/>
    <w:pPr>
      <w:ind w:firstLine="567"/>
      <w:jc w:val="both"/>
    </w:pPr>
    <w:rPr>
      <w:rFonts w:ascii="Consolas" w:hAnsi="Consolas" w:eastAsia="Calibri" w:cs="Consolas"/>
      <w:sz w:val="21"/>
      <w:szCs w:val="21"/>
    </w:rPr>
  </w:style>
  <w:style w:type="paragraph" w:customStyle="1" w:styleId="66">
    <w:name w:val="Default"/>
    <w:uiPriority w:val="99"/>
    <w:pPr>
      <w:suppressAutoHyphens/>
      <w:autoSpaceDE w:val="0"/>
    </w:pPr>
    <w:rPr>
      <w:rFonts w:ascii="Arial" w:hAnsi="Arial" w:eastAsia="Calibri" w:cs="Arial"/>
      <w:color w:val="000000"/>
      <w:sz w:val="24"/>
      <w:szCs w:val="24"/>
      <w:lang w:val="ru-RU" w:eastAsia="ar-SA" w:bidi="ar-SA"/>
    </w:rPr>
  </w:style>
  <w:style w:type="paragraph" w:customStyle="1" w:styleId="67">
    <w:name w:val="Название рисунка"/>
    <w:next w:val="1"/>
    <w:uiPriority w:val="99"/>
    <w:pPr>
      <w:tabs>
        <w:tab w:val="left" w:pos="1080"/>
      </w:tabs>
      <w:suppressAutoHyphens/>
      <w:spacing w:before="120" w:after="120"/>
    </w:pPr>
    <w:rPr>
      <w:rFonts w:ascii="Arial" w:hAnsi="Arial" w:eastAsia="SimSun" w:cs="Arial"/>
      <w:bCs/>
      <w:sz w:val="16"/>
      <w:szCs w:val="24"/>
      <w:lang w:val="en-US" w:eastAsia="ar-SA" w:bidi="ar-SA"/>
    </w:rPr>
  </w:style>
  <w:style w:type="paragraph" w:customStyle="1" w:styleId="68">
    <w:name w:val="Название таблицы"/>
    <w:basedOn w:val="59"/>
    <w:next w:val="1"/>
    <w:uiPriority w:val="99"/>
    <w:pPr>
      <w:keepNext/>
    </w:pPr>
    <w:rPr>
      <w:rFonts w:ascii="Arial" w:hAnsi="Arial" w:eastAsia="Times New Roman" w:cs="Arial"/>
      <w:bCs w:val="0"/>
      <w:iCs/>
    </w:rPr>
  </w:style>
  <w:style w:type="paragraph" w:customStyle="1" w:styleId="69">
    <w:name w:val="таблица"/>
    <w:basedOn w:val="68"/>
    <w:uiPriority w:val="99"/>
  </w:style>
  <w:style w:type="paragraph" w:customStyle="1" w:styleId="70">
    <w:name w:val="Основной текст 21"/>
    <w:basedOn w:val="1"/>
    <w:uiPriority w:val="99"/>
    <w:pPr>
      <w:spacing w:after="120" w:line="480" w:lineRule="auto"/>
      <w:ind w:firstLine="567"/>
      <w:jc w:val="both"/>
    </w:pPr>
    <w:rPr>
      <w:rFonts w:ascii="Arial" w:hAnsi="Arial" w:eastAsia="SimSun"/>
      <w:sz w:val="20"/>
      <w:szCs w:val="20"/>
    </w:rPr>
  </w:style>
  <w:style w:type="paragraph" w:customStyle="1" w:styleId="71">
    <w:name w:val="Таблица"/>
    <w:basedOn w:val="1"/>
    <w:uiPriority w:val="99"/>
    <w:pPr>
      <w:ind w:right="-1"/>
      <w:jc w:val="right"/>
    </w:pPr>
    <w:rPr>
      <w:rFonts w:ascii="Tahoma" w:hAnsi="Tahoma" w:eastAsia="SimSun"/>
      <w:sz w:val="20"/>
      <w:szCs w:val="20"/>
    </w:rPr>
  </w:style>
  <w:style w:type="paragraph" w:customStyle="1" w:styleId="72">
    <w:name w:val="Обычный без отступа"/>
    <w:basedOn w:val="1"/>
    <w:uiPriority w:val="99"/>
    <w:pPr>
      <w:spacing w:line="264" w:lineRule="auto"/>
      <w:jc w:val="both"/>
    </w:pPr>
    <w:rPr>
      <w:rFonts w:ascii="Tahoma" w:hAnsi="Tahoma"/>
      <w:sz w:val="22"/>
      <w:szCs w:val="22"/>
    </w:rPr>
  </w:style>
  <w:style w:type="paragraph" w:customStyle="1" w:styleId="73">
    <w:name w:val="Обычный без отступа1"/>
    <w:basedOn w:val="1"/>
    <w:uiPriority w:val="99"/>
    <w:pPr>
      <w:spacing w:line="264" w:lineRule="auto"/>
      <w:jc w:val="both"/>
    </w:pPr>
    <w:rPr>
      <w:rFonts w:ascii="Tahoma" w:hAnsi="Tahoma" w:eastAsia="SimSun" w:cs="Tahoma"/>
      <w:sz w:val="20"/>
      <w:szCs w:val="20"/>
    </w:rPr>
  </w:style>
  <w:style w:type="paragraph" w:customStyle="1" w:styleId="74">
    <w:name w:val="Табличный текст"/>
    <w:basedOn w:val="73"/>
    <w:uiPriority w:val="99"/>
    <w:pPr>
      <w:spacing w:line="240" w:lineRule="auto"/>
      <w:jc w:val="center"/>
    </w:pPr>
    <w:rPr>
      <w:sz w:val="18"/>
      <w:szCs w:val="18"/>
    </w:rPr>
  </w:style>
  <w:style w:type="paragraph" w:customStyle="1" w:styleId="75">
    <w:name w:val="Содержимое врезки"/>
    <w:basedOn w:val="19"/>
    <w:uiPriority w:val="99"/>
    <w:pPr>
      <w:widowControl w:val="0"/>
      <w:snapToGrid w:val="0"/>
      <w:spacing w:after="0"/>
      <w:ind w:firstLine="567"/>
      <w:jc w:val="both"/>
    </w:pPr>
    <w:rPr>
      <w:rFonts w:ascii="Arial" w:hAnsi="Arial" w:eastAsia="SimSun" w:cs="Arial"/>
      <w:sz w:val="28"/>
      <w:szCs w:val="20"/>
    </w:rPr>
  </w:style>
  <w:style w:type="paragraph" w:customStyle="1" w:styleId="76">
    <w:name w:val="Оглавление 10"/>
    <w:basedOn w:val="53"/>
    <w:uiPriority w:val="99"/>
    <w:pPr>
      <w:tabs>
        <w:tab w:val="right" w:leader="dot" w:pos="7091"/>
      </w:tabs>
      <w:ind w:left="2547"/>
      <w:jc w:val="both"/>
    </w:pPr>
    <w:rPr>
      <w:rFonts w:eastAsia="SimSun" w:cs="Mangal"/>
      <w:sz w:val="20"/>
      <w:szCs w:val="20"/>
    </w:rPr>
  </w:style>
  <w:style w:type="paragraph" w:customStyle="1" w:styleId="77">
    <w:name w:val="Содержимое таблицы"/>
    <w:basedOn w:val="1"/>
    <w:uiPriority w:val="99"/>
    <w:pPr>
      <w:suppressLineNumbers/>
      <w:ind w:firstLine="567"/>
      <w:jc w:val="both"/>
    </w:pPr>
    <w:rPr>
      <w:rFonts w:ascii="Arial" w:hAnsi="Arial" w:eastAsia="SimSun" w:cs="Arial"/>
      <w:sz w:val="20"/>
      <w:szCs w:val="20"/>
    </w:rPr>
  </w:style>
  <w:style w:type="paragraph" w:customStyle="1" w:styleId="78">
    <w:name w:val="Заголовок таблицы"/>
    <w:basedOn w:val="77"/>
    <w:uiPriority w:val="99"/>
    <w:pPr>
      <w:jc w:val="center"/>
    </w:pPr>
    <w:rPr>
      <w:b/>
      <w:bCs/>
    </w:rPr>
  </w:style>
  <w:style w:type="paragraph" w:customStyle="1" w:styleId="79">
    <w:name w:val="Основной текст 22"/>
    <w:basedOn w:val="1"/>
    <w:uiPriority w:val="99"/>
    <w:pPr>
      <w:ind w:right="-1"/>
      <w:jc w:val="center"/>
    </w:pPr>
    <w:rPr>
      <w:rFonts w:ascii="Arial" w:hAnsi="Arial" w:eastAsia="SimSun" w:cs="Arial"/>
      <w:b/>
      <w:sz w:val="28"/>
      <w:szCs w:val="20"/>
    </w:rPr>
  </w:style>
  <w:style w:type="paragraph" w:customStyle="1" w:styleId="80">
    <w:name w:val="Обычный1"/>
    <w:uiPriority w:val="99"/>
    <w:pPr>
      <w:suppressAutoHyphens/>
      <w:spacing w:line="100" w:lineRule="atLeast"/>
    </w:pPr>
    <w:rPr>
      <w:rFonts w:ascii="Times New Roman" w:hAnsi="Times New Roman" w:eastAsia="Times New Roman" w:cs="Times New Roman"/>
      <w:sz w:val="28"/>
      <w:lang w:val="ru-RU" w:eastAsia="hi-IN" w:bidi="hi-IN"/>
    </w:rPr>
  </w:style>
  <w:style w:type="paragraph" w:customStyle="1" w:styleId="81">
    <w:name w:val="ConsPlusNormal"/>
    <w:uiPriority w:val="99"/>
    <w:pPr>
      <w:widowControl w:val="0"/>
      <w:suppressAutoHyphens/>
      <w:spacing w:line="100" w:lineRule="atLeast"/>
      <w:ind w:firstLine="720"/>
    </w:pPr>
    <w:rPr>
      <w:rFonts w:ascii="Arial" w:hAnsi="Arial" w:eastAsia="SimSun" w:cs="Arial"/>
      <w:lang w:val="ru-RU" w:eastAsia="hi-IN" w:bidi="hi-IN"/>
    </w:rPr>
  </w:style>
  <w:style w:type="paragraph" w:customStyle="1" w:styleId="82">
    <w:name w:val="ConsPlusCell"/>
    <w:uiPriority w:val="99"/>
    <w:pPr>
      <w:widowControl w:val="0"/>
      <w:suppressAutoHyphens/>
      <w:spacing w:line="100" w:lineRule="atLeast"/>
    </w:pPr>
    <w:rPr>
      <w:rFonts w:ascii="Arial" w:hAnsi="Arial" w:eastAsia="SimSun" w:cs="Arial"/>
      <w:lang w:val="ru-RU" w:eastAsia="hi-IN" w:bidi="hi-IN"/>
    </w:rPr>
  </w:style>
  <w:style w:type="paragraph" w:customStyle="1" w:styleId="83">
    <w:name w:val="ConsPlusDocList"/>
    <w:next w:val="1"/>
    <w:uiPriority w:val="99"/>
    <w:pPr>
      <w:widowControl w:val="0"/>
      <w:suppressAutoHyphens/>
    </w:pPr>
    <w:rPr>
      <w:rFonts w:ascii="Arial" w:hAnsi="Arial" w:eastAsia="Arial" w:cs="Arial"/>
      <w:lang w:val="ru-RU" w:eastAsia="hi-IN" w:bidi="hi-IN"/>
    </w:rPr>
  </w:style>
  <w:style w:type="paragraph" w:customStyle="1" w:styleId="84">
    <w:name w:val="ConsPlusNonformat"/>
    <w:next w:val="1"/>
    <w:uiPriority w:val="99"/>
    <w:pPr>
      <w:widowControl w:val="0"/>
      <w:suppressAutoHyphens/>
    </w:pPr>
    <w:rPr>
      <w:rFonts w:ascii="Courier New" w:hAnsi="Courier New" w:eastAsia="Courier New" w:cs="Courier New"/>
      <w:lang w:val="ru-RU" w:eastAsia="hi-IN" w:bidi="hi-IN"/>
    </w:rPr>
  </w:style>
  <w:style w:type="character" w:customStyle="1" w:styleId="85">
    <w:name w:val="WW8Num1z0"/>
    <w:uiPriority w:val="0"/>
    <w:rPr>
      <w:rFonts w:hint="default" w:ascii="Symbol" w:hAnsi="Symbol" w:cs="Symbol"/>
    </w:rPr>
  </w:style>
  <w:style w:type="character" w:customStyle="1" w:styleId="86">
    <w:name w:val="WW8Num1z1"/>
    <w:uiPriority w:val="0"/>
  </w:style>
  <w:style w:type="character" w:customStyle="1" w:styleId="87">
    <w:name w:val="WW8Num1z2"/>
    <w:uiPriority w:val="0"/>
  </w:style>
  <w:style w:type="character" w:customStyle="1" w:styleId="88">
    <w:name w:val="WW8Num1z3"/>
    <w:uiPriority w:val="0"/>
  </w:style>
  <w:style w:type="character" w:customStyle="1" w:styleId="89">
    <w:name w:val="WW8Num1z4"/>
    <w:uiPriority w:val="0"/>
  </w:style>
  <w:style w:type="character" w:customStyle="1" w:styleId="90">
    <w:name w:val="WW8Num1z5"/>
    <w:uiPriority w:val="0"/>
  </w:style>
  <w:style w:type="character" w:customStyle="1" w:styleId="91">
    <w:name w:val="WW8Num1z6"/>
    <w:uiPriority w:val="0"/>
  </w:style>
  <w:style w:type="character" w:customStyle="1" w:styleId="92">
    <w:name w:val="WW8Num1z7"/>
    <w:uiPriority w:val="0"/>
  </w:style>
  <w:style w:type="character" w:customStyle="1" w:styleId="93">
    <w:name w:val="WW8Num1z8"/>
    <w:uiPriority w:val="0"/>
  </w:style>
  <w:style w:type="character" w:customStyle="1" w:styleId="94">
    <w:name w:val="WW8Num2z0"/>
    <w:uiPriority w:val="0"/>
  </w:style>
  <w:style w:type="character" w:customStyle="1" w:styleId="95">
    <w:name w:val="WW8Num3z0"/>
    <w:uiPriority w:val="0"/>
  </w:style>
  <w:style w:type="character" w:customStyle="1" w:styleId="96">
    <w:name w:val="WW8Num3z1"/>
    <w:uiPriority w:val="0"/>
  </w:style>
  <w:style w:type="character" w:customStyle="1" w:styleId="97">
    <w:name w:val="WW8Num3z2"/>
    <w:uiPriority w:val="0"/>
  </w:style>
  <w:style w:type="character" w:customStyle="1" w:styleId="98">
    <w:name w:val="WW8Num3z3"/>
    <w:uiPriority w:val="0"/>
  </w:style>
  <w:style w:type="character" w:customStyle="1" w:styleId="99">
    <w:name w:val="WW8Num3z4"/>
    <w:uiPriority w:val="0"/>
  </w:style>
  <w:style w:type="character" w:customStyle="1" w:styleId="100">
    <w:name w:val="WW8Num3z5"/>
    <w:uiPriority w:val="0"/>
  </w:style>
  <w:style w:type="character" w:customStyle="1" w:styleId="101">
    <w:name w:val="WW8Num3z6"/>
    <w:uiPriority w:val="0"/>
  </w:style>
  <w:style w:type="character" w:customStyle="1" w:styleId="102">
    <w:name w:val="WW8Num3z7"/>
    <w:uiPriority w:val="0"/>
  </w:style>
  <w:style w:type="character" w:customStyle="1" w:styleId="103">
    <w:name w:val="WW8Num3z8"/>
    <w:uiPriority w:val="0"/>
  </w:style>
  <w:style w:type="character" w:customStyle="1" w:styleId="104">
    <w:name w:val="WW8Num4z0"/>
    <w:uiPriority w:val="0"/>
    <w:rPr>
      <w:rFonts w:hint="default" w:ascii="Arial" w:hAnsi="Arial" w:cs="Times New Roman"/>
      <w:sz w:val="16"/>
    </w:rPr>
  </w:style>
  <w:style w:type="character" w:customStyle="1" w:styleId="105">
    <w:name w:val="WW8Num5z0"/>
    <w:uiPriority w:val="0"/>
  </w:style>
  <w:style w:type="character" w:customStyle="1" w:styleId="106">
    <w:name w:val="WW8Num6z0"/>
    <w:uiPriority w:val="0"/>
    <w:rPr>
      <w:lang w:val="en-US"/>
    </w:rPr>
  </w:style>
  <w:style w:type="character" w:customStyle="1" w:styleId="107">
    <w:name w:val="WW8Num7z0"/>
    <w:uiPriority w:val="0"/>
  </w:style>
  <w:style w:type="character" w:customStyle="1" w:styleId="108">
    <w:name w:val="WW8Num8z0"/>
    <w:uiPriority w:val="0"/>
  </w:style>
  <w:style w:type="character" w:customStyle="1" w:styleId="109">
    <w:name w:val="WW8Num8z1"/>
    <w:uiPriority w:val="0"/>
    <w:rPr>
      <w:rFonts w:hint="default" w:ascii="Times New Roman" w:hAnsi="Times New Roman" w:cs="Times New Roman"/>
    </w:rPr>
  </w:style>
  <w:style w:type="character" w:customStyle="1" w:styleId="110">
    <w:name w:val="WW8Num8z2"/>
    <w:uiPriority w:val="0"/>
  </w:style>
  <w:style w:type="character" w:customStyle="1" w:styleId="111">
    <w:name w:val="WW8Num8z3"/>
    <w:uiPriority w:val="0"/>
  </w:style>
  <w:style w:type="character" w:customStyle="1" w:styleId="112">
    <w:name w:val="WW8Num8z4"/>
    <w:uiPriority w:val="0"/>
  </w:style>
  <w:style w:type="character" w:customStyle="1" w:styleId="113">
    <w:name w:val="WW8Num8z5"/>
    <w:uiPriority w:val="0"/>
  </w:style>
  <w:style w:type="character" w:customStyle="1" w:styleId="114">
    <w:name w:val="WW8Num8z6"/>
    <w:uiPriority w:val="0"/>
  </w:style>
  <w:style w:type="character" w:customStyle="1" w:styleId="115">
    <w:name w:val="WW8Num8z7"/>
    <w:uiPriority w:val="0"/>
  </w:style>
  <w:style w:type="character" w:customStyle="1" w:styleId="116">
    <w:name w:val="WW8Num8z8"/>
    <w:uiPriority w:val="0"/>
  </w:style>
  <w:style w:type="character" w:customStyle="1" w:styleId="117">
    <w:name w:val="WW8Num9z0"/>
    <w:uiPriority w:val="0"/>
  </w:style>
  <w:style w:type="character" w:customStyle="1" w:styleId="118">
    <w:name w:val="WW8Num9z1"/>
    <w:uiPriority w:val="0"/>
  </w:style>
  <w:style w:type="character" w:customStyle="1" w:styleId="119">
    <w:name w:val="WW8Num9z2"/>
    <w:uiPriority w:val="0"/>
  </w:style>
  <w:style w:type="character" w:customStyle="1" w:styleId="120">
    <w:name w:val="WW8Num9z3"/>
    <w:qFormat/>
    <w:uiPriority w:val="0"/>
  </w:style>
  <w:style w:type="character" w:customStyle="1" w:styleId="121">
    <w:name w:val="WW8Num9z4"/>
    <w:uiPriority w:val="0"/>
  </w:style>
  <w:style w:type="character" w:customStyle="1" w:styleId="122">
    <w:name w:val="WW8Num9z5"/>
    <w:uiPriority w:val="0"/>
  </w:style>
  <w:style w:type="character" w:customStyle="1" w:styleId="123">
    <w:name w:val="WW8Num9z6"/>
    <w:uiPriority w:val="0"/>
  </w:style>
  <w:style w:type="character" w:customStyle="1" w:styleId="124">
    <w:name w:val="WW8Num9z7"/>
    <w:uiPriority w:val="0"/>
  </w:style>
  <w:style w:type="character" w:customStyle="1" w:styleId="125">
    <w:name w:val="WW8Num9z8"/>
    <w:uiPriority w:val="0"/>
  </w:style>
  <w:style w:type="character" w:customStyle="1" w:styleId="126">
    <w:name w:val="WW8Num4z1"/>
    <w:uiPriority w:val="0"/>
  </w:style>
  <w:style w:type="character" w:customStyle="1" w:styleId="127">
    <w:name w:val="WW8Num4z2"/>
    <w:uiPriority w:val="0"/>
  </w:style>
  <w:style w:type="character" w:customStyle="1" w:styleId="128">
    <w:name w:val="WW8Num4z3"/>
    <w:uiPriority w:val="0"/>
  </w:style>
  <w:style w:type="character" w:customStyle="1" w:styleId="129">
    <w:name w:val="WW8Num4z4"/>
    <w:uiPriority w:val="0"/>
  </w:style>
  <w:style w:type="character" w:customStyle="1" w:styleId="130">
    <w:name w:val="WW8Num4z5"/>
    <w:uiPriority w:val="0"/>
  </w:style>
  <w:style w:type="character" w:customStyle="1" w:styleId="131">
    <w:name w:val="WW8Num4z6"/>
    <w:uiPriority w:val="0"/>
  </w:style>
  <w:style w:type="character" w:customStyle="1" w:styleId="132">
    <w:name w:val="WW8Num4z7"/>
    <w:uiPriority w:val="0"/>
  </w:style>
  <w:style w:type="character" w:customStyle="1" w:styleId="133">
    <w:name w:val="WW8Num4z8"/>
    <w:uiPriority w:val="0"/>
  </w:style>
  <w:style w:type="character" w:customStyle="1" w:styleId="134">
    <w:name w:val="WW8Num2z1"/>
    <w:uiPriority w:val="0"/>
  </w:style>
  <w:style w:type="character" w:customStyle="1" w:styleId="135">
    <w:name w:val="WW8Num2z2"/>
    <w:uiPriority w:val="0"/>
  </w:style>
  <w:style w:type="character" w:customStyle="1" w:styleId="136">
    <w:name w:val="WW8Num2z3"/>
    <w:uiPriority w:val="0"/>
  </w:style>
  <w:style w:type="character" w:customStyle="1" w:styleId="137">
    <w:name w:val="WW8Num2z4"/>
    <w:uiPriority w:val="0"/>
  </w:style>
  <w:style w:type="character" w:customStyle="1" w:styleId="138">
    <w:name w:val="WW8Num2z5"/>
    <w:uiPriority w:val="0"/>
  </w:style>
  <w:style w:type="character" w:customStyle="1" w:styleId="139">
    <w:name w:val="WW8Num2z6"/>
    <w:uiPriority w:val="0"/>
  </w:style>
  <w:style w:type="character" w:customStyle="1" w:styleId="140">
    <w:name w:val="WW8Num2z7"/>
    <w:uiPriority w:val="0"/>
  </w:style>
  <w:style w:type="character" w:customStyle="1" w:styleId="141">
    <w:name w:val="WW8Num2z8"/>
    <w:uiPriority w:val="0"/>
  </w:style>
  <w:style w:type="character" w:customStyle="1" w:styleId="142">
    <w:name w:val="WW8Num5z1"/>
    <w:uiPriority w:val="0"/>
  </w:style>
  <w:style w:type="character" w:customStyle="1" w:styleId="143">
    <w:name w:val="WW8Num5z2"/>
    <w:uiPriority w:val="0"/>
  </w:style>
  <w:style w:type="character" w:customStyle="1" w:styleId="144">
    <w:name w:val="WW8Num5z3"/>
    <w:uiPriority w:val="0"/>
  </w:style>
  <w:style w:type="character" w:customStyle="1" w:styleId="145">
    <w:name w:val="WW8Num5z4"/>
    <w:uiPriority w:val="0"/>
  </w:style>
  <w:style w:type="character" w:customStyle="1" w:styleId="146">
    <w:name w:val="WW8Num5z5"/>
    <w:uiPriority w:val="0"/>
  </w:style>
  <w:style w:type="character" w:customStyle="1" w:styleId="147">
    <w:name w:val="WW8Num5z6"/>
    <w:uiPriority w:val="0"/>
  </w:style>
  <w:style w:type="character" w:customStyle="1" w:styleId="148">
    <w:name w:val="WW8Num5z7"/>
    <w:uiPriority w:val="0"/>
  </w:style>
  <w:style w:type="character" w:customStyle="1" w:styleId="149">
    <w:name w:val="WW8Num5z8"/>
    <w:qFormat/>
    <w:uiPriority w:val="0"/>
  </w:style>
  <w:style w:type="character" w:customStyle="1" w:styleId="150">
    <w:name w:val="WW8Num6z1"/>
    <w:qFormat/>
    <w:uiPriority w:val="0"/>
  </w:style>
  <w:style w:type="character" w:customStyle="1" w:styleId="151">
    <w:name w:val="WW8Num6z2"/>
    <w:qFormat/>
    <w:uiPriority w:val="0"/>
  </w:style>
  <w:style w:type="character" w:customStyle="1" w:styleId="152">
    <w:name w:val="WW8Num6z3"/>
    <w:qFormat/>
    <w:uiPriority w:val="0"/>
  </w:style>
  <w:style w:type="character" w:customStyle="1" w:styleId="153">
    <w:name w:val="WW8Num6z4"/>
    <w:uiPriority w:val="0"/>
  </w:style>
  <w:style w:type="character" w:customStyle="1" w:styleId="154">
    <w:name w:val="WW8Num6z5"/>
    <w:uiPriority w:val="0"/>
  </w:style>
  <w:style w:type="character" w:customStyle="1" w:styleId="155">
    <w:name w:val="WW8Num6z6"/>
    <w:qFormat/>
    <w:uiPriority w:val="0"/>
  </w:style>
  <w:style w:type="character" w:customStyle="1" w:styleId="156">
    <w:name w:val="WW8Num6z7"/>
    <w:qFormat/>
    <w:uiPriority w:val="0"/>
  </w:style>
  <w:style w:type="character" w:customStyle="1" w:styleId="157">
    <w:name w:val="WW8Num6z8"/>
    <w:qFormat/>
    <w:uiPriority w:val="0"/>
  </w:style>
  <w:style w:type="character" w:customStyle="1" w:styleId="158">
    <w:name w:val="WW8Num7z1"/>
    <w:qFormat/>
    <w:uiPriority w:val="0"/>
  </w:style>
  <w:style w:type="character" w:customStyle="1" w:styleId="159">
    <w:name w:val="WW8Num7z2"/>
    <w:uiPriority w:val="0"/>
  </w:style>
  <w:style w:type="character" w:customStyle="1" w:styleId="160">
    <w:name w:val="WW8Num7z3"/>
    <w:qFormat/>
    <w:uiPriority w:val="0"/>
  </w:style>
  <w:style w:type="character" w:customStyle="1" w:styleId="161">
    <w:name w:val="WW8Num7z4"/>
    <w:qFormat/>
    <w:uiPriority w:val="0"/>
  </w:style>
  <w:style w:type="character" w:customStyle="1" w:styleId="162">
    <w:name w:val="WW8Num7z5"/>
    <w:qFormat/>
    <w:uiPriority w:val="0"/>
  </w:style>
  <w:style w:type="character" w:customStyle="1" w:styleId="163">
    <w:name w:val="WW8Num7z6"/>
    <w:qFormat/>
    <w:uiPriority w:val="0"/>
  </w:style>
  <w:style w:type="character" w:customStyle="1" w:styleId="164">
    <w:name w:val="WW8Num7z7"/>
    <w:qFormat/>
    <w:uiPriority w:val="0"/>
  </w:style>
  <w:style w:type="character" w:customStyle="1" w:styleId="165">
    <w:name w:val="WW8Num7z8"/>
    <w:qFormat/>
    <w:uiPriority w:val="0"/>
  </w:style>
  <w:style w:type="character" w:customStyle="1" w:styleId="166">
    <w:name w:val="Знак Знак24"/>
    <w:qFormat/>
    <w:uiPriority w:val="0"/>
    <w:rPr>
      <w:rFonts w:hint="eastAsia" w:ascii="SimSun" w:eastAsia="SimSun"/>
      <w:b/>
      <w:bCs/>
      <w:caps/>
      <w:kern w:val="2"/>
      <w:sz w:val="28"/>
      <w:szCs w:val="28"/>
      <w:lang w:val="ru-RU" w:eastAsia="ar-SA" w:bidi="ar-SA"/>
    </w:rPr>
  </w:style>
  <w:style w:type="character" w:customStyle="1" w:styleId="167">
    <w:name w:val="Знак Знак23"/>
    <w:qFormat/>
    <w:uiPriority w:val="0"/>
    <w:rPr>
      <w:rFonts w:hint="eastAsia" w:ascii="SimSun" w:eastAsia="SimSun"/>
      <w:b/>
      <w:sz w:val="24"/>
      <w:szCs w:val="24"/>
      <w:lang w:val="ru-RU" w:eastAsia="ar-SA" w:bidi="ar-SA"/>
    </w:rPr>
  </w:style>
  <w:style w:type="character" w:customStyle="1" w:styleId="168">
    <w:name w:val="Знак Знак22"/>
    <w:qFormat/>
    <w:uiPriority w:val="0"/>
    <w:rPr>
      <w:rFonts w:hint="default" w:ascii="Arial" w:hAnsi="Arial" w:eastAsia="SimSun" w:cs="Arial"/>
      <w:b/>
      <w:bCs/>
      <w:sz w:val="24"/>
      <w:szCs w:val="26"/>
      <w:lang w:val="ru-RU" w:eastAsia="ar-SA" w:bidi="ar-SA"/>
    </w:rPr>
  </w:style>
  <w:style w:type="character" w:customStyle="1" w:styleId="169">
    <w:name w:val="Знак Знак21"/>
    <w:qFormat/>
    <w:uiPriority w:val="0"/>
    <w:rPr>
      <w:rFonts w:hint="default" w:ascii="Arial" w:hAnsi="Arial" w:eastAsia="SimSun" w:cs="Arial"/>
      <w:b/>
      <w:bCs/>
      <w:iCs/>
      <w:szCs w:val="26"/>
      <w:lang w:val="ru-RU" w:eastAsia="ar-SA" w:bidi="ar-SA"/>
    </w:rPr>
  </w:style>
  <w:style w:type="character" w:customStyle="1" w:styleId="170">
    <w:name w:val="Знак Знак20"/>
    <w:qFormat/>
    <w:uiPriority w:val="0"/>
    <w:rPr>
      <w:rFonts w:hint="default" w:ascii="Arial" w:hAnsi="Arial" w:eastAsia="SimSun" w:cs="Arial"/>
      <w:lang w:val="ru-RU" w:eastAsia="ar-SA" w:bidi="ar-SA"/>
    </w:rPr>
  </w:style>
  <w:style w:type="character" w:customStyle="1" w:styleId="171">
    <w:name w:val="Знак Знак19"/>
    <w:qFormat/>
    <w:uiPriority w:val="0"/>
    <w:rPr>
      <w:rFonts w:hint="default" w:ascii="Arial" w:hAnsi="Arial" w:eastAsia="SimSun" w:cs="Arial"/>
      <w:lang w:val="ru-RU" w:eastAsia="ar-SA" w:bidi="ar-SA"/>
    </w:rPr>
  </w:style>
  <w:style w:type="character" w:customStyle="1" w:styleId="172">
    <w:name w:val="Знак Знак18"/>
    <w:qFormat/>
    <w:uiPriority w:val="0"/>
    <w:rPr>
      <w:rFonts w:hint="default" w:ascii="Arial" w:hAnsi="Arial" w:eastAsia="SimSun" w:cs="Arial"/>
      <w:lang w:val="ru-RU" w:eastAsia="ar-SA" w:bidi="ar-SA"/>
    </w:rPr>
  </w:style>
  <w:style w:type="character" w:customStyle="1" w:styleId="173">
    <w:name w:val="Знак Знак17"/>
    <w:qFormat/>
    <w:uiPriority w:val="0"/>
    <w:rPr>
      <w:rFonts w:hint="default" w:ascii="Arial" w:hAnsi="Arial" w:eastAsia="SimSun" w:cs="Arial"/>
      <w:b/>
      <w:lang w:val="ru-RU" w:eastAsia="ar-SA" w:bidi="ar-SA"/>
    </w:rPr>
  </w:style>
  <w:style w:type="character" w:customStyle="1" w:styleId="174">
    <w:name w:val="Знак Знак16"/>
    <w:qFormat/>
    <w:uiPriority w:val="0"/>
    <w:rPr>
      <w:rFonts w:hint="default" w:ascii="Arial" w:hAnsi="Arial" w:eastAsia="SimSun" w:cs="Arial"/>
      <w:lang w:val="ru-RU" w:eastAsia="ar-SA" w:bidi="ar-SA"/>
    </w:rPr>
  </w:style>
  <w:style w:type="character" w:customStyle="1" w:styleId="175">
    <w:name w:val="Знак Знак15"/>
    <w:qFormat/>
    <w:uiPriority w:val="0"/>
    <w:rPr>
      <w:rFonts w:hint="default" w:ascii="Calibri" w:hAnsi="Calibri" w:eastAsia="Calibri" w:cs="Calibri"/>
      <w:lang w:val="ru-RU" w:eastAsia="ar-SA" w:bidi="ar-SA"/>
    </w:rPr>
  </w:style>
  <w:style w:type="character" w:customStyle="1" w:styleId="176">
    <w:name w:val="Знак Знак14"/>
    <w:qFormat/>
    <w:uiPriority w:val="0"/>
    <w:rPr>
      <w:rFonts w:hint="default" w:ascii="Arial" w:hAnsi="Arial" w:eastAsia="SimSun" w:cs="Arial"/>
      <w:bCs/>
      <w:iCs/>
      <w:lang w:val="ru-RU" w:eastAsia="ar-SA" w:bidi="ar-SA"/>
    </w:rPr>
  </w:style>
  <w:style w:type="character" w:customStyle="1" w:styleId="177">
    <w:name w:val="Знак Знак13"/>
    <w:qFormat/>
    <w:uiPriority w:val="0"/>
    <w:rPr>
      <w:rFonts w:hint="default" w:ascii="Arial" w:hAnsi="Arial" w:eastAsia="SimSun" w:cs="Arial"/>
      <w:lang w:val="ru-RU" w:eastAsia="ar-SA" w:bidi="ar-SA"/>
    </w:rPr>
  </w:style>
  <w:style w:type="character" w:customStyle="1" w:styleId="178">
    <w:name w:val="Знак Знак12"/>
    <w:qFormat/>
    <w:uiPriority w:val="0"/>
    <w:rPr>
      <w:rFonts w:hint="default" w:ascii="Arial" w:hAnsi="Arial" w:eastAsia="SimSun" w:cs="Arial"/>
      <w:lang w:val="ru-RU" w:eastAsia="ar-SA" w:bidi="ar-SA"/>
    </w:rPr>
  </w:style>
  <w:style w:type="character" w:customStyle="1" w:styleId="179">
    <w:name w:val="Знак Знак11"/>
    <w:qFormat/>
    <w:uiPriority w:val="0"/>
    <w:rPr>
      <w:rFonts w:hint="default" w:ascii="Tahoma" w:hAnsi="Tahoma" w:eastAsia="SimSun" w:cs="Arial"/>
      <w:bCs/>
      <w:lang w:val="ru-RU" w:eastAsia="ar-SA" w:bidi="ar-SA"/>
    </w:rPr>
  </w:style>
  <w:style w:type="character" w:customStyle="1" w:styleId="180">
    <w:name w:val="Знак Знак10"/>
    <w:qFormat/>
    <w:uiPriority w:val="0"/>
    <w:rPr>
      <w:rFonts w:hint="default" w:ascii="Arial" w:hAnsi="Arial" w:eastAsia="SimSun" w:cs="Arial"/>
      <w:b/>
      <w:sz w:val="28"/>
      <w:lang w:val="ru-RU" w:eastAsia="ar-SA" w:bidi="ar-SA"/>
    </w:rPr>
  </w:style>
  <w:style w:type="character" w:customStyle="1" w:styleId="181">
    <w:name w:val="Знак Знак9"/>
    <w:uiPriority w:val="0"/>
    <w:rPr>
      <w:rFonts w:hint="default" w:ascii="Arial" w:hAnsi="Arial" w:eastAsia="SimSun" w:cs="Arial"/>
      <w:sz w:val="28"/>
      <w:lang w:val="ru-RU" w:eastAsia="ar-SA" w:bidi="ar-SA"/>
    </w:rPr>
  </w:style>
  <w:style w:type="character" w:customStyle="1" w:styleId="182">
    <w:name w:val="Знак Знак8"/>
    <w:uiPriority w:val="0"/>
    <w:rPr>
      <w:rFonts w:hint="default" w:ascii="Arial" w:hAnsi="Arial" w:eastAsia="SimSun" w:cs="Arial"/>
      <w:lang w:val="ru-RU" w:eastAsia="ar-SA" w:bidi="ar-SA"/>
    </w:rPr>
  </w:style>
  <w:style w:type="character" w:customStyle="1" w:styleId="183">
    <w:name w:val="Знак Знак7"/>
    <w:uiPriority w:val="0"/>
    <w:rPr>
      <w:rFonts w:hint="default" w:ascii="Arial" w:hAnsi="Arial" w:eastAsia="SimSun" w:cs="Arial"/>
      <w:b/>
      <w:caps/>
      <w:lang w:val="ru-RU" w:eastAsia="ar-SA" w:bidi="ar-SA"/>
    </w:rPr>
  </w:style>
  <w:style w:type="character" w:customStyle="1" w:styleId="184">
    <w:name w:val="Знак Знак6"/>
    <w:uiPriority w:val="0"/>
    <w:rPr>
      <w:rFonts w:hint="default" w:ascii="Arial" w:hAnsi="Arial" w:eastAsia="SimSun" w:cs="Arial"/>
      <w:lang w:val="ru-RU" w:eastAsia="ar-SA" w:bidi="ar-SA"/>
    </w:rPr>
  </w:style>
  <w:style w:type="character" w:customStyle="1" w:styleId="185">
    <w:name w:val="Знак Знак5"/>
    <w:uiPriority w:val="0"/>
    <w:rPr>
      <w:rFonts w:hint="default" w:ascii="Arial" w:hAnsi="Arial" w:eastAsia="SimSun" w:cs="Arial"/>
      <w:lang w:val="ru-RU" w:eastAsia="ar-SA" w:bidi="ar-SA"/>
    </w:rPr>
  </w:style>
  <w:style w:type="character" w:customStyle="1" w:styleId="186">
    <w:name w:val="Знак Знак4"/>
    <w:uiPriority w:val="0"/>
    <w:rPr>
      <w:rFonts w:hint="default" w:ascii="Tahoma" w:hAnsi="Tahoma" w:eastAsia="SimSun" w:cs="Tahoma"/>
      <w:lang w:val="ru-RU" w:eastAsia="ar-SA" w:bidi="ar-SA"/>
    </w:rPr>
  </w:style>
  <w:style w:type="character" w:customStyle="1" w:styleId="187">
    <w:name w:val="Знак Знак3"/>
    <w:qFormat/>
    <w:uiPriority w:val="0"/>
    <w:rPr>
      <w:rFonts w:hint="default" w:ascii="Consolas" w:hAnsi="Consolas" w:eastAsia="Calibri" w:cs="Arial"/>
      <w:sz w:val="21"/>
      <w:szCs w:val="21"/>
      <w:lang w:val="ru-RU" w:eastAsia="ar-SA" w:bidi="ar-SA"/>
    </w:rPr>
  </w:style>
  <w:style w:type="character" w:customStyle="1" w:styleId="188">
    <w:name w:val="Знак Знак2"/>
    <w:uiPriority w:val="0"/>
    <w:rPr>
      <w:rFonts w:hint="default" w:ascii="Tahoma" w:hAnsi="Tahoma" w:eastAsia="SimSun" w:cs="Tahoma"/>
      <w:sz w:val="16"/>
      <w:szCs w:val="16"/>
      <w:lang w:val="ru-RU" w:eastAsia="ar-SA" w:bidi="ar-SA"/>
    </w:rPr>
  </w:style>
  <w:style w:type="character" w:customStyle="1" w:styleId="189">
    <w:name w:val="Название таблицы Знак"/>
    <w:uiPriority w:val="0"/>
    <w:rPr>
      <w:rFonts w:hint="default" w:ascii="Arial" w:hAnsi="Arial" w:cs="Arial"/>
      <w:iCs/>
      <w:lang w:val="ru-RU" w:eastAsia="ar-SA" w:bidi="ar-SA"/>
    </w:rPr>
  </w:style>
  <w:style w:type="character" w:customStyle="1" w:styleId="190">
    <w:name w:val="таблица Знак"/>
    <w:qFormat/>
    <w:uiPriority w:val="0"/>
    <w:rPr>
      <w:rFonts w:hint="default" w:ascii="Arial" w:hAnsi="Arial" w:cs="Arial"/>
      <w:iCs/>
      <w:lang w:val="ru-RU" w:eastAsia="ar-SA" w:bidi="ar-SA"/>
    </w:rPr>
  </w:style>
  <w:style w:type="character" w:customStyle="1" w:styleId="191">
    <w:name w:val="Знак Знак1"/>
    <w:uiPriority w:val="0"/>
    <w:rPr>
      <w:rFonts w:hint="default" w:ascii="Arial" w:hAnsi="Arial" w:eastAsia="SimSun" w:cs="Arial"/>
      <w:lang w:eastAsia="ar-SA" w:bidi="ar-SA"/>
    </w:rPr>
  </w:style>
  <w:style w:type="character" w:customStyle="1" w:styleId="192">
    <w:name w:val="Таблица Знак"/>
    <w:qFormat/>
    <w:uiPriority w:val="0"/>
    <w:rPr>
      <w:rFonts w:hint="default" w:ascii="Tahoma" w:hAnsi="Tahoma" w:eastAsia="SimSun" w:cs="Tahoma"/>
      <w:lang w:eastAsia="ar-SA" w:bidi="ar-SA"/>
    </w:rPr>
  </w:style>
  <w:style w:type="character" w:customStyle="1" w:styleId="193">
    <w:name w:val="Знак Знак"/>
    <w:uiPriority w:val="0"/>
    <w:rPr>
      <w:rFonts w:hint="default" w:ascii="Arial" w:hAnsi="Arial" w:eastAsia="SimSun" w:cs="Arial"/>
      <w:b/>
      <w:bCs/>
      <w:lang w:val="ru-RU" w:eastAsia="ar-SA" w:bidi="ar-SA"/>
    </w:rPr>
  </w:style>
  <w:style w:type="character" w:customStyle="1" w:styleId="194">
    <w:name w:val="Обычный без отступа Знак"/>
    <w:qFormat/>
    <w:uiPriority w:val="0"/>
    <w:rPr>
      <w:rFonts w:hint="default" w:ascii="Tahoma" w:hAnsi="Tahoma" w:cs="Tahoma"/>
      <w:sz w:val="22"/>
      <w:szCs w:val="22"/>
      <w:lang w:val="ru-RU" w:eastAsia="ar-SA" w:bidi="ar-SA"/>
    </w:rPr>
  </w:style>
  <w:style w:type="character" w:customStyle="1" w:styleId="195">
    <w:name w:val="Обычный без отступа1 Знак"/>
    <w:qFormat/>
    <w:uiPriority w:val="0"/>
    <w:rPr>
      <w:rFonts w:hint="default" w:ascii="Tahoma" w:hAnsi="Tahoma" w:eastAsia="SimSun" w:cs="Arial"/>
      <w:lang w:val="ru-RU" w:eastAsia="ar-SA" w:bidi="ar-SA"/>
    </w:rPr>
  </w:style>
  <w:style w:type="character" w:customStyle="1" w:styleId="196">
    <w:name w:val="Табличный текст Знак"/>
    <w:uiPriority w:val="0"/>
    <w:rPr>
      <w:rFonts w:hint="default" w:ascii="Tahoma" w:hAnsi="Tahoma" w:eastAsia="SimSun" w:cs="Arial"/>
      <w:sz w:val="18"/>
      <w:szCs w:val="18"/>
      <w:lang w:val="ru-RU" w:eastAsia="ar-SA" w:bidi="ar-SA"/>
    </w:rPr>
  </w:style>
  <w:style w:type="character" w:customStyle="1" w:styleId="197">
    <w:name w:val="Символ нумерации"/>
    <w:uiPriority w:val="0"/>
  </w:style>
  <w:style w:type="character" w:customStyle="1" w:styleId="198">
    <w:name w:val="Маркеры списка"/>
    <w:uiPriority w:val="0"/>
    <w:rPr>
      <w:rFonts w:hint="eastAsia" w:ascii="OpenSymbol" w:hAnsi="OpenSymbol" w:eastAsia="OpenSymbol" w:cs="OpenSymbol"/>
    </w:rPr>
  </w:style>
  <w:style w:type="character" w:customStyle="1" w:styleId="199">
    <w:name w:val="apple-converted-space"/>
    <w:basedOn w:val="11"/>
    <w:uiPriority w:val="0"/>
  </w:style>
  <w:style w:type="paragraph" w:customStyle="1" w:styleId="200">
    <w:name w:val="formattext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4400</Words>
  <Characters>25085</Characters>
  <Lines>209</Lines>
  <Paragraphs>58</Paragraphs>
  <TotalTime>108</TotalTime>
  <ScaleCrop>false</ScaleCrop>
  <LinksUpToDate>false</LinksUpToDate>
  <CharactersWithSpaces>29427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2017-11-01T05:21:00Z</dcterms:created>
  <dc:creator>1</dc:creator>
  <cp:lastModifiedBy>admslr</cp:lastModifiedBy>
  <cp:lastPrinted>2017-11-01T04:14:00Z</cp:lastPrinted>
  <dcterms:modified xsi:type="dcterms:W3CDTF">2023-02-27T08:07:38Z</dcterms:modified>
  <dc:title>ПОСТАНОВЛЕНИЕ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0CF64EA47D4144429F251C6083645ED6</vt:lpwstr>
  </property>
</Properties>
</file>